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8C4219" w:rsidRDefault="008C4219" w:rsidP="005E1EC9">
      <w:pPr>
        <w:pStyle w:val="NormalWeb"/>
        <w:spacing w:before="0" w:beforeAutospacing="0" w:after="0" w:afterAutospacing="0"/>
        <w:jc w:val="both"/>
        <w:rPr>
          <w:rFonts w:ascii="Arial" w:hAnsi="Arial" w:cs="Arial"/>
          <w:b/>
          <w:bCs/>
          <w:caps/>
          <w:color w:val="002F5D"/>
          <w:sz w:val="21"/>
          <w:szCs w:val="21"/>
        </w:rPr>
      </w:pPr>
    </w:p>
    <w:p w:rsidR="005E1EC9" w:rsidRPr="005E1EC9" w:rsidRDefault="008C4219" w:rsidP="005E1EC9">
      <w:pPr>
        <w:pStyle w:val="NormalWeb"/>
        <w:spacing w:before="0" w:beforeAutospacing="0" w:after="0" w:afterAutospacing="0"/>
        <w:jc w:val="both"/>
        <w:rPr>
          <w:rFonts w:ascii="Arial" w:hAnsi="Arial" w:cs="Arial"/>
          <w:b/>
          <w:bCs/>
          <w:caps/>
          <w:color w:val="002F5D"/>
          <w:sz w:val="21"/>
          <w:szCs w:val="21"/>
        </w:rPr>
      </w:pPr>
      <w:r w:rsidRPr="008C4219">
        <w:rPr>
          <w:rFonts w:ascii="Arial" w:hAnsi="Arial" w:cs="Arial"/>
          <w:b/>
          <w:bCs/>
          <w:caps/>
          <w:color w:val="002F5D"/>
          <w:sz w:val="21"/>
          <w:szCs w:val="21"/>
        </w:rPr>
        <w:t>Impuesto al Valor Agregado. Impuesto a las Ganancias. AFIP exime a los sujetos que administran servicios electrónicos de pagos y/o cobranzas por cuenta y orden de terceros, del régimen de retención del IVA y Ganancias aplicables al sistema de pago con tarjetas</w:t>
      </w:r>
      <w:r>
        <w:rPr>
          <w:rFonts w:ascii="Arial" w:hAnsi="Arial" w:cs="Arial"/>
          <w:b/>
          <w:bCs/>
          <w:caps/>
          <w:color w:val="002F5D"/>
          <w:sz w:val="21"/>
          <w:szCs w:val="21"/>
        </w:rPr>
        <w:t xml:space="preserve"> - </w:t>
      </w:r>
      <w:r w:rsidRPr="008C4219">
        <w:rPr>
          <w:rFonts w:ascii="Arial" w:hAnsi="Arial" w:cs="Arial"/>
          <w:b/>
          <w:bCs/>
          <w:caps/>
          <w:color w:val="002F5D"/>
          <w:sz w:val="21"/>
          <w:szCs w:val="21"/>
        </w:rPr>
        <w:t>RESOLUCIÓN GENERAL (</w:t>
      </w:r>
      <w:proofErr w:type="spellStart"/>
      <w:r w:rsidRPr="008C4219">
        <w:rPr>
          <w:rFonts w:ascii="Arial" w:hAnsi="Arial" w:cs="Arial"/>
          <w:b/>
          <w:bCs/>
          <w:caps/>
          <w:color w:val="002F5D"/>
          <w:sz w:val="21"/>
          <w:szCs w:val="21"/>
        </w:rPr>
        <w:t>Adm</w:t>
      </w:r>
      <w:proofErr w:type="spellEnd"/>
      <w:r w:rsidRPr="008C4219">
        <w:rPr>
          <w:rFonts w:ascii="Arial" w:hAnsi="Arial" w:cs="Arial"/>
          <w:b/>
          <w:bCs/>
          <w:caps/>
          <w:color w:val="002F5D"/>
          <w:sz w:val="21"/>
          <w:szCs w:val="21"/>
        </w:rPr>
        <w:t>. Fed. Ingresos Públicos) 4633</w:t>
      </w:r>
    </w:p>
    <w:p w:rsidR="0088157D" w:rsidRDefault="0088157D" w:rsidP="0088157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 </w:t>
      </w:r>
    </w:p>
    <w:p w:rsidR="008C4219" w:rsidRDefault="008C4219"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Se exime a los sujetos que administran servicios electrónicos de pagos y/o cobranzas por cuenta y orden de terceros de ser pasibles del régimen de retención del IVA y Ganancias aplicables al sistema de pago con tarjetas de crédito y/o compras.</w:t>
      </w:r>
    </w:p>
    <w:p w:rsidR="00E1356A" w:rsidRDefault="008C4219" w:rsidP="0088157D">
      <w:pPr>
        <w:pStyle w:val="NormalWeb"/>
        <w:spacing w:before="0" w:beforeAutospacing="0" w:after="0" w:afterAutospacing="0" w:line="360" w:lineRule="auto"/>
        <w:jc w:val="both"/>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Las presentes disposiciones también incluyen a las operaciones realizadas mediante dispositivos móviles, y/o cualquier otro soporte electrónico, comprendidos los virtuales</w:t>
      </w:r>
    </w:p>
    <w:p w:rsidR="008C4219" w:rsidRDefault="008C4219" w:rsidP="0088157D">
      <w:pPr>
        <w:pStyle w:val="NormalWeb"/>
        <w:spacing w:before="0" w:beforeAutospacing="0" w:after="0" w:afterAutospacing="0"/>
        <w:jc w:val="both"/>
        <w:rPr>
          <w:rFonts w:ascii="Arial" w:hAnsi="Arial" w:cs="Arial"/>
          <w:b/>
          <w:bCs/>
          <w:caps/>
          <w:color w:val="002F5D"/>
        </w:rPr>
      </w:pPr>
    </w:p>
    <w:p w:rsidR="008C4219" w:rsidRDefault="008C4219" w:rsidP="008C4219">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Pr>
          <w:rFonts w:ascii="Arial" w:hAnsi="Arial" w:cs="Arial"/>
          <w:b/>
          <w:bCs/>
          <w:caps/>
          <w:color w:val="002F5D"/>
        </w:rPr>
        <w:t>JURISPRUDENCIA</w:t>
      </w:r>
    </w:p>
    <w:p w:rsidR="008C4219" w:rsidRDefault="008C4219" w:rsidP="008C4219">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p>
    <w:p w:rsidR="008C4219" w:rsidRPr="008C4219" w:rsidRDefault="008C4219" w:rsidP="008C4219">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sidRPr="008C4219">
        <w:rPr>
          <w:rFonts w:ascii="Arial" w:hAnsi="Arial" w:cs="Arial"/>
          <w:b/>
          <w:bCs/>
          <w:caps/>
          <w:color w:val="002F5D"/>
          <w:sz w:val="21"/>
          <w:szCs w:val="21"/>
        </w:rPr>
        <w:t>BIENES PERSONALES. INMUEBLES RURALES AFECTADOS A EXPLOTACIÓN UNIPERSONAL. EXENCIÓN DE LOS ALCANZADOS POR EL IMPUESTO A LA GANANCIA MÍNIMA PRESUNTA</w:t>
      </w:r>
    </w:p>
    <w:p w:rsidR="008C4219" w:rsidRPr="008C4219" w:rsidRDefault="008C4219" w:rsidP="008C4219">
      <w:pPr>
        <w:pStyle w:val="NormalWeb"/>
        <w:spacing w:before="0" w:beforeAutospacing="0" w:after="0" w:afterAutospacing="0" w:line="360" w:lineRule="auto"/>
        <w:jc w:val="both"/>
        <w:rPr>
          <w:rFonts w:ascii="Arial" w:eastAsia="Times New Roman" w:hAnsi="Arial" w:cs="Arial"/>
          <w:b/>
          <w:bCs/>
          <w:color w:val="666666"/>
          <w:sz w:val="20"/>
          <w:szCs w:val="20"/>
        </w:rPr>
      </w:pPr>
    </w:p>
    <w:p w:rsidR="008C4219" w:rsidRDefault="008C4219" w:rsidP="008C4219">
      <w:pPr>
        <w:pStyle w:val="NormalWeb"/>
        <w:spacing w:before="0" w:beforeAutospacing="0" w:after="0" w:afterAutospacing="0" w:line="360" w:lineRule="auto"/>
        <w:jc w:val="both"/>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 xml:space="preserve">Se revocó la determinación apelada. Se sostuvo que la exención tipificada en el artículo 21, inciso f), de la ley de impuesto sobre los bienes personales contempla la coexistencia de dos elementos inescindibles: el subjetivo (que el inmueble pertenezca a personas físicas o sucesiones indivisas) y el objetivo (que el inmueble revista la condición de “rural”), esté o no afectado a una explotación, resultando el propósito perseguido por la norma evitar la doble imposición con el impuesto sobre la ganancia mínima presunta. </w:t>
      </w:r>
    </w:p>
    <w:p w:rsidR="008C4219" w:rsidRPr="008C4219" w:rsidRDefault="008C4219" w:rsidP="008C4219">
      <w:pPr>
        <w:pStyle w:val="NormalWeb"/>
        <w:spacing w:before="0" w:beforeAutospacing="0" w:after="0" w:afterAutospacing="0" w:line="360" w:lineRule="auto"/>
        <w:jc w:val="both"/>
        <w:rPr>
          <w:rFonts w:ascii="Arial" w:eastAsia="Times New Roman" w:hAnsi="Arial" w:cs="Arial"/>
          <w:b/>
          <w:bCs/>
          <w:color w:val="666666"/>
          <w:sz w:val="16"/>
          <w:szCs w:val="16"/>
        </w:rPr>
      </w:pPr>
      <w:r w:rsidRPr="008C4219">
        <w:rPr>
          <w:rFonts w:ascii="Arial" w:eastAsia="Times New Roman" w:hAnsi="Arial" w:cs="Arial"/>
          <w:b/>
          <w:bCs/>
          <w:color w:val="666666"/>
          <w:sz w:val="16"/>
          <w:szCs w:val="16"/>
        </w:rPr>
        <w:t>OLASO, RODRIGO JESÚS S/RECURSO DE APELACIÓN - IMPUESTO SOBRE LOS BIENES PERSONALES - TRIB. FISCAL NAC. - SALA A - 26/08/2019</w:t>
      </w:r>
    </w:p>
    <w:p w:rsidR="008C4219" w:rsidRDefault="008C4219" w:rsidP="0088157D">
      <w:pPr>
        <w:pStyle w:val="NormalWeb"/>
        <w:spacing w:before="0" w:beforeAutospacing="0" w:after="0" w:afterAutospacing="0"/>
        <w:jc w:val="both"/>
        <w:rPr>
          <w:rFonts w:ascii="Arial" w:hAnsi="Arial" w:cs="Arial"/>
          <w:b/>
          <w:bCs/>
          <w:caps/>
          <w:color w:val="002F5D"/>
          <w:sz w:val="21"/>
          <w:szCs w:val="21"/>
        </w:rPr>
      </w:pPr>
    </w:p>
    <w:p w:rsidR="008C4219" w:rsidRDefault="008C4219" w:rsidP="0088157D">
      <w:pPr>
        <w:pStyle w:val="NormalWeb"/>
        <w:spacing w:before="0" w:beforeAutospacing="0" w:after="0" w:afterAutospacing="0"/>
        <w:jc w:val="both"/>
        <w:rPr>
          <w:rFonts w:ascii="Arial" w:hAnsi="Arial" w:cs="Arial"/>
          <w:b/>
          <w:bCs/>
          <w:caps/>
          <w:color w:val="002F5D"/>
          <w:sz w:val="21"/>
          <w:szCs w:val="21"/>
        </w:rPr>
      </w:pPr>
      <w:r w:rsidRPr="008C4219">
        <w:rPr>
          <w:rFonts w:ascii="Arial" w:hAnsi="Arial" w:cs="Arial"/>
          <w:b/>
          <w:bCs/>
          <w:caps/>
          <w:color w:val="002F5D"/>
          <w:sz w:val="21"/>
          <w:szCs w:val="21"/>
        </w:rPr>
        <w:t>ESPACIO DE DIALOGO CON AFIP</w:t>
      </w:r>
      <w:r>
        <w:rPr>
          <w:rFonts w:ascii="Arial" w:hAnsi="Arial" w:cs="Arial"/>
          <w:b/>
          <w:bCs/>
          <w:caps/>
          <w:color w:val="002F5D"/>
          <w:sz w:val="21"/>
          <w:szCs w:val="21"/>
        </w:rPr>
        <w:t xml:space="preserve"> – 06/11/19</w:t>
      </w:r>
    </w:p>
    <w:p w:rsidR="008C4219" w:rsidRPr="008C4219" w:rsidRDefault="008C4219" w:rsidP="0088157D">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CONSULTA Nº 19</w:t>
      </w:r>
    </w:p>
    <w:p w:rsidR="008C4219" w:rsidRPr="00F05EBB" w:rsidRDefault="008C4219" w:rsidP="008C4219">
      <w:pPr>
        <w:spacing w:before="120"/>
        <w:ind w:left="105" w:right="105"/>
        <w:jc w:val="both"/>
        <w:rPr>
          <w:rFonts w:ascii="Verdana" w:eastAsia="Times New Roman" w:hAnsi="Verdana"/>
          <w:sz w:val="20"/>
          <w:szCs w:val="20"/>
          <w:lang w:eastAsia="es-AR"/>
        </w:rPr>
      </w:pPr>
      <w:r w:rsidRPr="00F05EBB">
        <w:rPr>
          <w:rFonts w:ascii="Verdana" w:eastAsia="Times New Roman" w:hAnsi="Verdana"/>
          <w:b/>
          <w:bCs/>
          <w:sz w:val="20"/>
          <w:szCs w:val="20"/>
          <w:lang w:eastAsia="es-AR"/>
        </w:rPr>
        <w:t>19</w:t>
      </w:r>
      <w:r w:rsidRPr="008C4219">
        <w:rPr>
          <w:rFonts w:ascii="Arial" w:hAnsi="Arial" w:cs="Arial"/>
          <w:b/>
          <w:bCs/>
          <w:caps/>
          <w:color w:val="002F5D"/>
          <w:sz w:val="21"/>
          <w:szCs w:val="21"/>
        </w:rPr>
        <w:t>. COMPENSACIONES CON UTILIZACIÓN DE IMPUESTO A LOS DÉBITOS Y CRÉDITOS BANCARIOS</w:t>
      </w:r>
      <w:r w:rsidRPr="00F05EBB">
        <w:rPr>
          <w:rFonts w:ascii="Verdana" w:eastAsia="Times New Roman" w:hAnsi="Verdana"/>
          <w:b/>
          <w:bCs/>
          <w:sz w:val="20"/>
          <w:szCs w:val="20"/>
          <w:lang w:eastAsia="es-AR"/>
        </w:rPr>
        <w:t>.</w:t>
      </w:r>
    </w:p>
    <w:p w:rsidR="008C4219" w:rsidRPr="00F05EBB" w:rsidRDefault="008C4219" w:rsidP="008C4219">
      <w:pPr>
        <w:spacing w:before="80" w:line="360" w:lineRule="auto"/>
        <w:ind w:left="105" w:right="105"/>
        <w:jc w:val="both"/>
        <w:rPr>
          <w:rFonts w:ascii="Verdana" w:eastAsia="Times New Roman" w:hAnsi="Verdana"/>
          <w:sz w:val="20"/>
          <w:szCs w:val="20"/>
          <w:lang w:eastAsia="es-AR"/>
        </w:rPr>
      </w:pPr>
      <w:r w:rsidRPr="008C4219">
        <w:rPr>
          <w:rFonts w:ascii="Arial" w:eastAsia="Times New Roman" w:hAnsi="Arial" w:cs="Arial"/>
          <w:b/>
          <w:bCs/>
          <w:color w:val="666666"/>
          <w:sz w:val="20"/>
          <w:szCs w:val="20"/>
        </w:rPr>
        <w:t>En el caso de las compensaciones que se realizan con la utilización de Impuesto a los débitos y créditos bancarios, el comprobante que emite el sistema no contiene importe y el destino de la compensación</w:t>
      </w:r>
      <w:r w:rsidRPr="00F05EBB">
        <w:rPr>
          <w:rFonts w:ascii="Verdana" w:eastAsia="Times New Roman" w:hAnsi="Verdana"/>
          <w:sz w:val="20"/>
          <w:szCs w:val="20"/>
          <w:lang w:eastAsia="es-AR"/>
        </w:rPr>
        <w:t>.</w:t>
      </w:r>
    </w:p>
    <w:p w:rsidR="008C4219" w:rsidRDefault="008C4219" w:rsidP="008C4219">
      <w:pPr>
        <w:spacing w:before="120"/>
        <w:ind w:left="105" w:right="105"/>
        <w:jc w:val="both"/>
        <w:rPr>
          <w:rFonts w:ascii="Verdana" w:eastAsia="Times New Roman" w:hAnsi="Verdana"/>
          <w:b/>
          <w:bCs/>
          <w:sz w:val="20"/>
          <w:szCs w:val="20"/>
          <w:lang w:eastAsia="es-AR"/>
        </w:rPr>
      </w:pPr>
      <w:r w:rsidRPr="00F05EBB">
        <w:rPr>
          <w:rFonts w:ascii="Verdana" w:eastAsia="Times New Roman" w:hAnsi="Verdana"/>
          <w:b/>
          <w:bCs/>
          <w:sz w:val="20"/>
          <w:szCs w:val="20"/>
          <w:lang w:eastAsia="es-AR"/>
        </w:rPr>
        <w:t>Respuesta de AFIP</w:t>
      </w:r>
    </w:p>
    <w:p w:rsidR="008C4219" w:rsidRPr="00F05EBB" w:rsidRDefault="008C4219" w:rsidP="008C4219">
      <w:pPr>
        <w:spacing w:before="120"/>
        <w:ind w:left="105" w:right="105"/>
        <w:jc w:val="both"/>
        <w:rPr>
          <w:rFonts w:ascii="Verdana" w:eastAsia="Times New Roman" w:hAnsi="Verdana"/>
          <w:sz w:val="20"/>
          <w:szCs w:val="20"/>
          <w:lang w:eastAsia="es-AR"/>
        </w:rPr>
      </w:pPr>
    </w:p>
    <w:p w:rsidR="008C4219" w:rsidRPr="008C4219" w:rsidRDefault="008C4219" w:rsidP="008C4219">
      <w:pPr>
        <w:pStyle w:val="NormalWeb"/>
        <w:spacing w:before="0" w:beforeAutospacing="0" w:after="0" w:afterAutospacing="0" w:line="360" w:lineRule="auto"/>
        <w:jc w:val="both"/>
        <w:rPr>
          <w:rFonts w:ascii="Arial" w:eastAsia="Times New Roman" w:hAnsi="Arial" w:cs="Arial"/>
          <w:b/>
          <w:bCs/>
          <w:color w:val="666666"/>
          <w:sz w:val="20"/>
          <w:szCs w:val="20"/>
        </w:rPr>
      </w:pPr>
      <w:r w:rsidRPr="008C4219">
        <w:rPr>
          <w:rFonts w:ascii="Arial" w:eastAsia="Times New Roman" w:hAnsi="Arial" w:cs="Arial"/>
          <w:b/>
          <w:bCs/>
          <w:color w:val="666666"/>
          <w:sz w:val="20"/>
          <w:szCs w:val="20"/>
        </w:rPr>
        <w:lastRenderedPageBreak/>
        <w:t>La transacción “Utilización de Créditos Especiales” del Sistema de Cuentas Tributarias, además del acuse de recibo, genera un formulario F. 1151 (comprobante de respaldo de la solicitud de compensación interpuesta). El respectivo formulario puede ser consultado en la consulta “Comprobantes Personalizada” y contiene la identificación de las obligaciones de origen y destino, como así también el importe solicitado en compensación</w:t>
      </w:r>
    </w:p>
    <w:p w:rsidR="008C4219" w:rsidRDefault="008C4219" w:rsidP="0088157D">
      <w:pPr>
        <w:pStyle w:val="NormalWeb"/>
        <w:spacing w:before="0" w:beforeAutospacing="0" w:after="0" w:afterAutospacing="0"/>
        <w:jc w:val="both"/>
        <w:rPr>
          <w:rFonts w:ascii="Arial" w:hAnsi="Arial" w:cs="Arial"/>
          <w:b/>
          <w:bCs/>
          <w:caps/>
          <w:color w:val="002F5D"/>
        </w:rPr>
      </w:pPr>
    </w:p>
    <w:p w:rsidR="008C4219" w:rsidRDefault="008C4219" w:rsidP="0088157D">
      <w:pPr>
        <w:pStyle w:val="NormalWeb"/>
        <w:spacing w:before="0" w:beforeAutospacing="0" w:after="0" w:afterAutospacing="0"/>
        <w:jc w:val="both"/>
        <w:rPr>
          <w:rFonts w:ascii="Arial" w:hAnsi="Arial" w:cs="Arial"/>
          <w:b/>
          <w:bCs/>
          <w:caps/>
          <w:color w:val="002F5D"/>
          <w:sz w:val="21"/>
          <w:szCs w:val="21"/>
        </w:rPr>
      </w:pPr>
      <w:r w:rsidRPr="008C4219">
        <w:rPr>
          <w:rFonts w:ascii="Arial" w:hAnsi="Arial" w:cs="Arial"/>
          <w:b/>
          <w:bCs/>
          <w:caps/>
          <w:color w:val="002F5D"/>
          <w:sz w:val="21"/>
          <w:szCs w:val="21"/>
        </w:rPr>
        <w:t>AFIP difunde en su página web los valores vigentes de las categorías de monotributo que resultan aplicables a partir del 01/01/2020</w:t>
      </w:r>
    </w:p>
    <w:p w:rsidR="008C4219" w:rsidRDefault="008C4219" w:rsidP="0088157D">
      <w:pPr>
        <w:pStyle w:val="NormalWeb"/>
        <w:spacing w:before="0" w:beforeAutospacing="0" w:after="0" w:afterAutospacing="0"/>
        <w:jc w:val="both"/>
        <w:rPr>
          <w:rFonts w:ascii="Arial" w:hAnsi="Arial" w:cs="Arial"/>
          <w:b/>
          <w:bCs/>
          <w:caps/>
          <w:color w:val="002F5D"/>
          <w:sz w:val="21"/>
          <w:szCs w:val="21"/>
        </w:rPr>
      </w:pPr>
    </w:p>
    <w:tbl>
      <w:tblPr>
        <w:tblW w:w="0" w:type="auto"/>
        <w:tblCellSpacing w:w="15" w:type="dxa"/>
        <w:tblCellMar>
          <w:top w:w="15" w:type="dxa"/>
          <w:left w:w="15" w:type="dxa"/>
          <w:bottom w:w="15" w:type="dxa"/>
          <w:right w:w="15" w:type="dxa"/>
        </w:tblCellMar>
        <w:tblLook w:val="0000"/>
      </w:tblPr>
      <w:tblGrid>
        <w:gridCol w:w="687"/>
        <w:gridCol w:w="1369"/>
        <w:gridCol w:w="1943"/>
        <w:gridCol w:w="1461"/>
        <w:gridCol w:w="1943"/>
        <w:gridCol w:w="1476"/>
      </w:tblGrid>
      <w:tr w:rsidR="008C4219" w:rsidRPr="00CE44A8" w:rsidTr="008C4219">
        <w:trPr>
          <w:tblHeader/>
          <w:tblCellSpacing w:w="15" w:type="dxa"/>
        </w:trPr>
        <w:tc>
          <w:tcPr>
            <w:tcW w:w="0" w:type="auto"/>
            <w:shd w:val="clear" w:color="auto" w:fill="FD6A37"/>
            <w:vAlign w:val="center"/>
          </w:tcPr>
          <w:p w:rsidR="008C4219" w:rsidRPr="00CE44A8" w:rsidRDefault="008C4219" w:rsidP="008C4219">
            <w:pPr>
              <w:jc w:val="center"/>
              <w:rPr>
                <w:rFonts w:ascii="Arial" w:hAnsi="Arial" w:cs="Arial"/>
                <w:b/>
                <w:bCs/>
                <w:color w:val="333333"/>
              </w:rPr>
            </w:pPr>
          </w:p>
        </w:tc>
        <w:tc>
          <w:tcPr>
            <w:tcW w:w="0" w:type="auto"/>
            <w:shd w:val="clear" w:color="auto" w:fill="FD6A37"/>
            <w:vAlign w:val="center"/>
          </w:tcPr>
          <w:p w:rsidR="008C4219" w:rsidRPr="00CE44A8" w:rsidRDefault="008C4219" w:rsidP="008C4219">
            <w:pPr>
              <w:jc w:val="center"/>
              <w:rPr>
                <w:rFonts w:ascii="Arial" w:hAnsi="Arial" w:cs="Arial"/>
                <w:b/>
                <w:bCs/>
                <w:color w:val="333333"/>
              </w:rPr>
            </w:pPr>
          </w:p>
        </w:tc>
        <w:tc>
          <w:tcPr>
            <w:tcW w:w="0" w:type="auto"/>
            <w:gridSpan w:val="2"/>
            <w:shd w:val="clear" w:color="auto" w:fill="FD6A37"/>
            <w:vAlign w:val="center"/>
          </w:tcPr>
          <w:p w:rsidR="008C4219" w:rsidRPr="00CE44A8" w:rsidRDefault="008C4219" w:rsidP="008C4219">
            <w:pPr>
              <w:jc w:val="center"/>
              <w:rPr>
                <w:rFonts w:ascii="Arial" w:hAnsi="Arial" w:cs="Arial"/>
                <w:b/>
                <w:bCs/>
                <w:color w:val="333333"/>
              </w:rPr>
            </w:pPr>
            <w:r w:rsidRPr="00CE44A8">
              <w:rPr>
                <w:rFonts w:ascii="Arial" w:hAnsi="Arial" w:cs="Arial"/>
                <w:b/>
                <w:bCs/>
                <w:color w:val="333333"/>
              </w:rPr>
              <w:t>IMPUESTO INTEGRADO</w:t>
            </w:r>
          </w:p>
        </w:tc>
        <w:tc>
          <w:tcPr>
            <w:tcW w:w="0" w:type="auto"/>
            <w:gridSpan w:val="2"/>
            <w:shd w:val="clear" w:color="auto" w:fill="FD6A37"/>
            <w:vAlign w:val="center"/>
          </w:tcPr>
          <w:p w:rsidR="008C4219" w:rsidRPr="00CE44A8" w:rsidRDefault="008C4219" w:rsidP="008C4219">
            <w:pPr>
              <w:jc w:val="center"/>
              <w:rPr>
                <w:rFonts w:ascii="Arial" w:hAnsi="Arial" w:cs="Arial"/>
                <w:b/>
                <w:bCs/>
                <w:color w:val="333333"/>
              </w:rPr>
            </w:pPr>
            <w:r w:rsidRPr="00CE44A8">
              <w:rPr>
                <w:rFonts w:ascii="Arial" w:hAnsi="Arial" w:cs="Arial"/>
                <w:b/>
                <w:bCs/>
                <w:color w:val="333333"/>
              </w:rPr>
              <w:t>TOTAL</w:t>
            </w:r>
          </w:p>
        </w:tc>
      </w:tr>
      <w:tr w:rsidR="008C4219" w:rsidRPr="00CE44A8" w:rsidTr="008C4219">
        <w:trPr>
          <w:tblCellSpacing w:w="15" w:type="dxa"/>
        </w:trPr>
        <w:tc>
          <w:tcPr>
            <w:tcW w:w="0" w:type="auto"/>
            <w:vAlign w:val="center"/>
          </w:tcPr>
          <w:p w:rsidR="008C4219" w:rsidRPr="00CE44A8" w:rsidRDefault="008C4219" w:rsidP="008C4219">
            <w:pPr>
              <w:jc w:val="center"/>
              <w:rPr>
                <w:b/>
                <w:bCs/>
              </w:rPr>
            </w:pPr>
            <w:proofErr w:type="spellStart"/>
            <w:r w:rsidRPr="00CE44A8">
              <w:rPr>
                <w:rFonts w:ascii="Arial" w:hAnsi="Arial" w:cs="Arial"/>
                <w:b/>
                <w:bCs/>
                <w:sz w:val="22"/>
                <w:szCs w:val="22"/>
              </w:rPr>
              <w:t>Categ</w:t>
            </w:r>
            <w:proofErr w:type="spellEnd"/>
          </w:p>
        </w:tc>
        <w:tc>
          <w:tcPr>
            <w:tcW w:w="0" w:type="auto"/>
            <w:vAlign w:val="center"/>
          </w:tcPr>
          <w:p w:rsidR="008C4219" w:rsidRPr="00CE44A8" w:rsidRDefault="008C4219" w:rsidP="008C4219">
            <w:pPr>
              <w:jc w:val="center"/>
              <w:rPr>
                <w:b/>
                <w:bCs/>
              </w:rPr>
            </w:pPr>
            <w:r w:rsidRPr="00CE44A8">
              <w:rPr>
                <w:rFonts w:ascii="Arial" w:hAnsi="Arial" w:cs="Arial"/>
                <w:b/>
                <w:bCs/>
              </w:rPr>
              <w:t>Ingresos brutos</w:t>
            </w:r>
          </w:p>
        </w:tc>
        <w:tc>
          <w:tcPr>
            <w:tcW w:w="0" w:type="auto"/>
            <w:vAlign w:val="center"/>
          </w:tcPr>
          <w:p w:rsidR="008C4219" w:rsidRPr="00CE44A8" w:rsidRDefault="008C4219" w:rsidP="008C4219">
            <w:pPr>
              <w:jc w:val="center"/>
              <w:rPr>
                <w:b/>
                <w:bCs/>
              </w:rPr>
            </w:pPr>
            <w:r w:rsidRPr="00CE44A8">
              <w:rPr>
                <w:rFonts w:ascii="Arial" w:hAnsi="Arial" w:cs="Arial"/>
                <w:b/>
                <w:bCs/>
              </w:rPr>
              <w:t>Locación y/o Prestación de servicios</w:t>
            </w:r>
          </w:p>
        </w:tc>
        <w:tc>
          <w:tcPr>
            <w:tcW w:w="0" w:type="auto"/>
            <w:vAlign w:val="center"/>
          </w:tcPr>
          <w:p w:rsidR="008C4219" w:rsidRPr="00CE44A8" w:rsidRDefault="008C4219" w:rsidP="008C4219">
            <w:pPr>
              <w:jc w:val="center"/>
              <w:rPr>
                <w:b/>
                <w:bCs/>
              </w:rPr>
            </w:pPr>
            <w:r w:rsidRPr="00CE44A8">
              <w:rPr>
                <w:rFonts w:ascii="Arial" w:hAnsi="Arial" w:cs="Arial"/>
                <w:b/>
                <w:bCs/>
              </w:rPr>
              <w:t>Ventas de cosas muebles</w:t>
            </w:r>
          </w:p>
        </w:tc>
        <w:tc>
          <w:tcPr>
            <w:tcW w:w="0" w:type="auto"/>
            <w:vAlign w:val="center"/>
          </w:tcPr>
          <w:p w:rsidR="008C4219" w:rsidRPr="00CE44A8" w:rsidRDefault="008C4219" w:rsidP="008C4219">
            <w:pPr>
              <w:jc w:val="center"/>
              <w:rPr>
                <w:b/>
                <w:bCs/>
              </w:rPr>
            </w:pPr>
            <w:r w:rsidRPr="00CE44A8">
              <w:rPr>
                <w:rFonts w:ascii="Arial" w:hAnsi="Arial" w:cs="Arial"/>
                <w:b/>
                <w:bCs/>
              </w:rPr>
              <w:t>Locación y/o Prestación de servicios</w:t>
            </w:r>
          </w:p>
        </w:tc>
        <w:tc>
          <w:tcPr>
            <w:tcW w:w="0" w:type="auto"/>
            <w:vAlign w:val="center"/>
          </w:tcPr>
          <w:p w:rsidR="008C4219" w:rsidRPr="00CE44A8" w:rsidRDefault="008C4219" w:rsidP="008C4219">
            <w:pPr>
              <w:jc w:val="center"/>
              <w:rPr>
                <w:b/>
                <w:bCs/>
              </w:rPr>
            </w:pPr>
            <w:r w:rsidRPr="00CE44A8">
              <w:rPr>
                <w:rFonts w:ascii="Arial" w:hAnsi="Arial" w:cs="Arial"/>
                <w:b/>
                <w:bCs/>
              </w:rPr>
              <w:t>Ventas de cosas muebles</w:t>
            </w:r>
          </w:p>
        </w:tc>
      </w:tr>
      <w:tr w:rsidR="008C4219" w:rsidRPr="00CE44A8" w:rsidTr="008C4219">
        <w:trPr>
          <w:tblCellSpacing w:w="15" w:type="dxa"/>
        </w:trPr>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A</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208.739,25</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168,97</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168,97</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1.955,68</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1.955,68</w:t>
            </w:r>
          </w:p>
        </w:tc>
      </w:tr>
      <w:tr w:rsidR="008C4219" w:rsidRPr="00CE44A8" w:rsidTr="008C4219">
        <w:trPr>
          <w:tblCellSpacing w:w="15" w:type="dxa"/>
        </w:trPr>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B</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313.108,87</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325,54</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325,54</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2.186,80</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2.186,80</w:t>
            </w:r>
          </w:p>
        </w:tc>
      </w:tr>
      <w:tr w:rsidR="008C4219" w:rsidRPr="00CE44A8" w:rsidTr="008C4219">
        <w:trPr>
          <w:tblCellSpacing w:w="15" w:type="dxa"/>
        </w:trPr>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C</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417.478,51</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556,64</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514,38</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2.499,91</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2.457,65</w:t>
            </w:r>
          </w:p>
        </w:tc>
      </w:tr>
      <w:tr w:rsidR="008C4219" w:rsidRPr="001E7727" w:rsidTr="008C4219">
        <w:trPr>
          <w:tblCellSpacing w:w="15" w:type="dxa"/>
        </w:trPr>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D</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626.217,78</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914,47</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844,90</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2.947,94</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2.878,37</w:t>
            </w:r>
          </w:p>
        </w:tc>
      </w:tr>
      <w:tr w:rsidR="008C4219" w:rsidRPr="001E7727" w:rsidTr="008C4219">
        <w:trPr>
          <w:tblCellSpacing w:w="15" w:type="dxa"/>
        </w:trPr>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E</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834.957,00</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1.739,48</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1.349,34</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3.872,18</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3.482,04</w:t>
            </w:r>
          </w:p>
        </w:tc>
      </w:tr>
      <w:tr w:rsidR="008C4219" w:rsidRPr="001E7727" w:rsidTr="008C4219">
        <w:trPr>
          <w:tblCellSpacing w:w="15" w:type="dxa"/>
        </w:trPr>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F</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1.043.696,27</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2.393,05</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1.761,85</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4.634,89</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4.003,69</w:t>
            </w:r>
          </w:p>
        </w:tc>
      </w:tr>
      <w:tr w:rsidR="008C4219" w:rsidRPr="001E7727" w:rsidTr="008C4219">
        <w:trPr>
          <w:tblCellSpacing w:w="15" w:type="dxa"/>
        </w:trPr>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G</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1.252.435,53</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3.044,12</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2.196,71</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5.406,02</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4.558,61</w:t>
            </w:r>
          </w:p>
        </w:tc>
      </w:tr>
      <w:tr w:rsidR="008C4219" w:rsidRPr="001E7727" w:rsidTr="008C4219">
        <w:trPr>
          <w:tblCellSpacing w:w="15" w:type="dxa"/>
        </w:trPr>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H</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1.739.493,79</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6.957,96</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5.392,44</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9.451,93</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7.886,41</w:t>
            </w:r>
          </w:p>
        </w:tc>
      </w:tr>
      <w:tr w:rsidR="008C4219" w:rsidRPr="001E7727" w:rsidTr="008C4219">
        <w:trPr>
          <w:tblCellSpacing w:w="15" w:type="dxa"/>
        </w:trPr>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I</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2.043.905,21</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8.697,46</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11.336,71</w:t>
            </w:r>
          </w:p>
        </w:tc>
      </w:tr>
      <w:tr w:rsidR="008C4219" w:rsidRPr="001E7727" w:rsidTr="008C4219">
        <w:trPr>
          <w:tblCellSpacing w:w="15" w:type="dxa"/>
        </w:trPr>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J</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2.348.316,62</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10.220,77</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13.019,83</w:t>
            </w:r>
          </w:p>
        </w:tc>
      </w:tr>
      <w:tr w:rsidR="008C4219" w:rsidRPr="001E7727" w:rsidTr="008C4219">
        <w:trPr>
          <w:tblCellSpacing w:w="15" w:type="dxa"/>
        </w:trPr>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K</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2.609.240,69</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11.741,58</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w:t>
            </w:r>
          </w:p>
        </w:tc>
        <w:tc>
          <w:tcPr>
            <w:tcW w:w="0" w:type="auto"/>
            <w:vAlign w:val="center"/>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14.716,41</w:t>
            </w:r>
          </w:p>
        </w:tc>
      </w:tr>
    </w:tbl>
    <w:p w:rsidR="008C4219" w:rsidRPr="008C4219" w:rsidRDefault="008C4219" w:rsidP="0088157D">
      <w:pPr>
        <w:pStyle w:val="NormalWeb"/>
        <w:spacing w:before="0" w:beforeAutospacing="0" w:after="0" w:afterAutospacing="0"/>
        <w:jc w:val="both"/>
        <w:rPr>
          <w:rFonts w:ascii="Arial" w:hAnsi="Arial" w:cs="Arial"/>
          <w:b/>
          <w:bCs/>
          <w:caps/>
          <w:color w:val="002F5D"/>
          <w:sz w:val="21"/>
          <w:szCs w:val="21"/>
        </w:rPr>
      </w:pPr>
    </w:p>
    <w:p w:rsidR="008C4219" w:rsidRDefault="008C4219" w:rsidP="0088157D">
      <w:pPr>
        <w:pStyle w:val="NormalWeb"/>
        <w:spacing w:before="0" w:beforeAutospacing="0" w:after="0" w:afterAutospacing="0"/>
        <w:jc w:val="both"/>
        <w:rPr>
          <w:rFonts w:ascii="Arial" w:hAnsi="Arial" w:cs="Arial"/>
          <w:b/>
          <w:bCs/>
          <w:caps/>
          <w:color w:val="002F5D"/>
        </w:rPr>
      </w:pPr>
    </w:p>
    <w:p w:rsidR="0088157D" w:rsidRDefault="0088157D" w:rsidP="0088157D">
      <w:pPr>
        <w:pStyle w:val="NormalWeb"/>
        <w:spacing w:before="0" w:beforeAutospacing="0" w:after="0" w:afterAutospacing="0"/>
        <w:jc w:val="both"/>
        <w:rPr>
          <w:rFonts w:ascii="Arial" w:hAnsi="Arial" w:cs="Arial"/>
          <w:b/>
          <w:bCs/>
          <w:caps/>
          <w:color w:val="002F5D"/>
        </w:rPr>
      </w:pPr>
      <w:r w:rsidRPr="0088157D">
        <w:rPr>
          <w:rFonts w:ascii="Arial" w:hAnsi="Arial" w:cs="Arial"/>
          <w:b/>
          <w:bCs/>
          <w:caps/>
          <w:color w:val="002F5D"/>
        </w:rPr>
        <w:t>PROVINCIALES</w:t>
      </w:r>
    </w:p>
    <w:p w:rsidR="0088157D" w:rsidRPr="0088157D" w:rsidRDefault="0088157D" w:rsidP="0088157D">
      <w:pPr>
        <w:pStyle w:val="NormalWeb"/>
        <w:spacing w:before="0" w:beforeAutospacing="0" w:after="0" w:afterAutospacing="0"/>
        <w:jc w:val="both"/>
        <w:rPr>
          <w:rFonts w:ascii="Arial" w:hAnsi="Arial" w:cs="Arial"/>
          <w:b/>
          <w:bCs/>
          <w:caps/>
          <w:color w:val="002F5D"/>
        </w:rPr>
      </w:pPr>
    </w:p>
    <w:p w:rsidR="005E1EC9" w:rsidRDefault="008C4219" w:rsidP="005E1EC9">
      <w:pPr>
        <w:pStyle w:val="NormalWeb"/>
        <w:spacing w:before="0" w:beforeAutospacing="0" w:after="0" w:afterAutospacing="0"/>
        <w:jc w:val="both"/>
        <w:rPr>
          <w:rFonts w:ascii="Arial" w:hAnsi="Arial" w:cs="Arial"/>
          <w:b/>
          <w:bCs/>
          <w:caps/>
          <w:color w:val="002F5D"/>
          <w:sz w:val="21"/>
          <w:szCs w:val="21"/>
        </w:rPr>
      </w:pPr>
      <w:r w:rsidRPr="008C4219">
        <w:rPr>
          <w:rFonts w:ascii="Arial" w:hAnsi="Arial" w:cs="Arial"/>
          <w:b/>
          <w:bCs/>
          <w:caps/>
          <w:color w:val="002F5D"/>
          <w:sz w:val="21"/>
          <w:szCs w:val="21"/>
        </w:rPr>
        <w:t>Convenio Multilateral. Se limita la utilización provisoria de coeficientes unificados del año anterior, para calcular los anticipos de los meses de enero a marzo de cada año</w:t>
      </w:r>
      <w:r>
        <w:rPr>
          <w:rFonts w:ascii="Arial" w:hAnsi="Arial" w:cs="Arial"/>
          <w:b/>
          <w:bCs/>
          <w:caps/>
          <w:color w:val="002F5D"/>
          <w:sz w:val="21"/>
          <w:szCs w:val="21"/>
        </w:rPr>
        <w:t xml:space="preserve"> - </w:t>
      </w:r>
      <w:r w:rsidRPr="008C4219">
        <w:rPr>
          <w:rFonts w:ascii="Arial" w:hAnsi="Arial" w:cs="Arial"/>
          <w:b/>
          <w:bCs/>
          <w:caps/>
          <w:color w:val="002F5D"/>
          <w:sz w:val="21"/>
          <w:szCs w:val="21"/>
        </w:rPr>
        <w:t>RESOLUCIÓN GENERAL (Com. Arbitral Convenio Multilateral) 10/2019</w:t>
      </w:r>
    </w:p>
    <w:p w:rsidR="008C4219" w:rsidRDefault="008C4219" w:rsidP="005E1EC9">
      <w:pPr>
        <w:pStyle w:val="NormalWeb"/>
        <w:spacing w:before="0" w:beforeAutospacing="0" w:after="0" w:afterAutospacing="0"/>
        <w:jc w:val="both"/>
        <w:rPr>
          <w:rFonts w:ascii="Arial" w:hAnsi="Arial" w:cs="Arial"/>
          <w:b/>
          <w:bCs/>
          <w:caps/>
          <w:color w:val="002F5D"/>
          <w:sz w:val="21"/>
          <w:szCs w:val="21"/>
        </w:rPr>
      </w:pPr>
    </w:p>
    <w:p w:rsidR="005E1EC9" w:rsidRDefault="008C4219" w:rsidP="005E1EC9">
      <w:pPr>
        <w:spacing w:line="360" w:lineRule="auto"/>
        <w:jc w:val="both"/>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Se establece que la utilización provisoria de los coeficientes unificados del año anterior para determinar la distribución de la base imponible de los anticipos de enero, febrero y marzo de cada año, solo resulta aplicable en aquellos casos en los que no fuera posible contar con el nuevo coeficiente unificado a la fecha de determinación de los citados anticipos</w:t>
      </w:r>
      <w:r w:rsidR="00405A49">
        <w:rPr>
          <w:rFonts w:ascii="Arial" w:eastAsia="Times New Roman" w:hAnsi="Arial" w:cs="Arial"/>
          <w:b/>
          <w:bCs/>
          <w:color w:val="666666"/>
          <w:sz w:val="20"/>
          <w:szCs w:val="20"/>
        </w:rPr>
        <w:t>.</w:t>
      </w:r>
    </w:p>
    <w:p w:rsidR="00405A49" w:rsidRPr="005E1EC9" w:rsidRDefault="00405A49" w:rsidP="005E1EC9">
      <w:pPr>
        <w:spacing w:line="360" w:lineRule="auto"/>
        <w:jc w:val="both"/>
        <w:rPr>
          <w:rFonts w:ascii="Arial" w:eastAsia="Times New Roman" w:hAnsi="Arial" w:cs="Arial"/>
          <w:b/>
          <w:bCs/>
          <w:color w:val="666666"/>
          <w:sz w:val="20"/>
          <w:szCs w:val="20"/>
        </w:rPr>
      </w:pPr>
    </w:p>
    <w:p w:rsidR="0088157D" w:rsidRDefault="0088157D" w:rsidP="00CE400C">
      <w:pPr>
        <w:pStyle w:val="NormalWeb"/>
        <w:spacing w:before="0" w:beforeAutospacing="0" w:after="0" w:afterAutospacing="0"/>
        <w:jc w:val="center"/>
        <w:rPr>
          <w:rFonts w:ascii="Arial" w:hAnsi="Arial" w:cs="Arial"/>
          <w:b/>
          <w:bCs/>
          <w:caps/>
          <w:color w:val="7E4F6F"/>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Pr="00D05D33" w:rsidRDefault="0088157D" w:rsidP="00A7476B">
      <w:pPr>
        <w:pStyle w:val="NormalWeb"/>
        <w:spacing w:before="0" w:beforeAutospacing="0" w:after="0" w:afterAutospacing="0" w:line="360" w:lineRule="auto"/>
        <w:jc w:val="both"/>
        <w:rPr>
          <w:rFonts w:ascii="Arial" w:hAnsi="Arial" w:cs="Arial"/>
          <w:b/>
          <w:bCs/>
          <w:caps/>
          <w:color w:val="7E4F6F"/>
          <w:sz w:val="22"/>
          <w:szCs w:val="22"/>
        </w:rPr>
      </w:pPr>
      <w:r>
        <w:rPr>
          <w:rFonts w:ascii="Arial" w:hAnsi="Arial" w:cs="Arial"/>
          <w:b/>
          <w:bCs/>
          <w:caps/>
          <w:color w:val="7E4F6F"/>
          <w:sz w:val="22"/>
          <w:szCs w:val="22"/>
        </w:rPr>
        <w:lastRenderedPageBreak/>
        <w:t>LEGISLACION</w:t>
      </w:r>
    </w:p>
    <w:p w:rsidR="008C4219" w:rsidRDefault="008C4219" w:rsidP="008C4219">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Recursos de la Seguridad Social. Firma digital: se equipara su validez con la firma ológrafa - </w:t>
      </w:r>
      <w:r w:rsidRPr="008C4219">
        <w:rPr>
          <w:rFonts w:ascii="Arial" w:hAnsi="Arial" w:cs="Arial"/>
          <w:b/>
          <w:bCs/>
          <w:caps/>
          <w:color w:val="7E4F6F"/>
          <w:sz w:val="21"/>
          <w:szCs w:val="21"/>
        </w:rPr>
        <w:t>DECRETO (Poder Ejecutivo) 774/2019</w:t>
      </w:r>
    </w:p>
    <w:p w:rsidR="007E783E" w:rsidRDefault="007E783E" w:rsidP="00A7476B">
      <w:pPr>
        <w:pStyle w:val="NormalWeb"/>
        <w:spacing w:before="0" w:beforeAutospacing="0" w:after="0" w:afterAutospacing="0" w:line="360" w:lineRule="auto"/>
        <w:jc w:val="both"/>
        <w:rPr>
          <w:rFonts w:ascii="Arial" w:hAnsi="Arial" w:cs="Arial"/>
          <w:b/>
          <w:bCs/>
          <w:caps/>
          <w:color w:val="7E4F6F"/>
          <w:sz w:val="18"/>
          <w:szCs w:val="18"/>
        </w:rPr>
      </w:pPr>
    </w:p>
    <w:p w:rsidR="007E783E" w:rsidRDefault="008C4219" w:rsidP="00A7476B">
      <w:pPr>
        <w:pStyle w:val="NormalWeb"/>
        <w:spacing w:before="0" w:beforeAutospacing="0" w:after="0" w:afterAutospacing="0" w:line="360" w:lineRule="auto"/>
        <w:jc w:val="both"/>
        <w:rPr>
          <w:rFonts w:ascii="Arial" w:eastAsia="Times New Roman" w:hAnsi="Arial" w:cs="Arial"/>
          <w:color w:val="666666"/>
          <w:sz w:val="20"/>
          <w:szCs w:val="20"/>
        </w:rPr>
      </w:pPr>
      <w:r w:rsidRPr="008C4219">
        <w:rPr>
          <w:rFonts w:ascii="Arial" w:eastAsia="Times New Roman" w:hAnsi="Arial" w:cs="Arial"/>
          <w:b/>
          <w:bCs/>
          <w:color w:val="666666"/>
          <w:sz w:val="20"/>
          <w:szCs w:val="20"/>
        </w:rPr>
        <w:t>El Poder Ejecutivo establece que la firma digital de un documento electrónico satisface el requisito de certificación establecido para la firma ológrafa en todo trámite efectuado por el interesado ante la Administración Pública Nacional, centralizada y descentralizada</w:t>
      </w:r>
      <w:r w:rsidR="005E1EC9" w:rsidRPr="008C4219">
        <w:rPr>
          <w:rFonts w:ascii="Arial" w:eastAsia="Times New Roman" w:hAnsi="Arial" w:cs="Arial"/>
          <w:b/>
          <w:bCs/>
          <w:color w:val="666666"/>
          <w:sz w:val="20"/>
          <w:szCs w:val="20"/>
        </w:rPr>
        <w:t>.</w:t>
      </w:r>
    </w:p>
    <w:p w:rsidR="005E1EC9" w:rsidRDefault="005E1EC9" w:rsidP="00A7476B">
      <w:pPr>
        <w:pStyle w:val="NormalWeb"/>
        <w:spacing w:before="0" w:beforeAutospacing="0" w:after="0" w:afterAutospacing="0" w:line="360" w:lineRule="auto"/>
        <w:jc w:val="both"/>
        <w:rPr>
          <w:rFonts w:ascii="Arial" w:eastAsia="Times New Roman" w:hAnsi="Arial" w:cs="Arial"/>
          <w:b/>
          <w:bCs/>
          <w:color w:val="666666"/>
          <w:sz w:val="20"/>
          <w:szCs w:val="20"/>
        </w:rPr>
      </w:pPr>
    </w:p>
    <w:p w:rsidR="008C4219" w:rsidRDefault="008C4219" w:rsidP="008C4219">
      <w:pPr>
        <w:pStyle w:val="NormalWeb"/>
        <w:spacing w:before="0" w:beforeAutospacing="0" w:after="0" w:afterAutospacing="0"/>
        <w:jc w:val="both"/>
        <w:rPr>
          <w:rFonts w:ascii="Arial" w:hAnsi="Arial" w:cs="Arial"/>
          <w:b/>
          <w:bCs/>
          <w:caps/>
          <w:color w:val="002F5D"/>
          <w:sz w:val="21"/>
          <w:szCs w:val="21"/>
        </w:rPr>
      </w:pPr>
      <w:r w:rsidRPr="008C4219">
        <w:rPr>
          <w:rFonts w:ascii="Arial" w:hAnsi="Arial" w:cs="Arial"/>
          <w:b/>
          <w:bCs/>
          <w:caps/>
          <w:color w:val="002F5D"/>
          <w:sz w:val="21"/>
          <w:szCs w:val="21"/>
        </w:rPr>
        <w:t>SISTEMA DE ÍNDICES DE PRECIOS MAYORISTAS (SIPM). ÍNDICE DEL COSTO DE LA CONSTRUCCIÓN (ICC). ÍNDICE DE PRECIOS AL CONSUMIDOR (IPC). OCTUBRE DE 2019</w:t>
      </w:r>
    </w:p>
    <w:p w:rsidR="008C4219" w:rsidRPr="008C4219" w:rsidRDefault="008C4219" w:rsidP="008C4219">
      <w:pPr>
        <w:pStyle w:val="NormalWeb"/>
        <w:spacing w:before="0" w:beforeAutospacing="0" w:after="0" w:afterAutospacing="0"/>
        <w:jc w:val="both"/>
        <w:rPr>
          <w:rFonts w:ascii="Arial" w:hAnsi="Arial" w:cs="Arial"/>
          <w:b/>
          <w:bCs/>
          <w:caps/>
          <w:color w:val="002F5D"/>
          <w:sz w:val="21"/>
          <w:szCs w:val="21"/>
        </w:rPr>
      </w:pPr>
    </w:p>
    <w:p w:rsidR="008C4219" w:rsidRPr="008C4219" w:rsidRDefault="008C4219" w:rsidP="008C4219">
      <w:pPr>
        <w:spacing w:after="240" w:line="360" w:lineRule="auto"/>
        <w:jc w:val="both"/>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 xml:space="preserve">El Instituto Nacional de Estadística y Censos (INDEC) ha difundido la variación porcentual de los "Índices de Precios Mayoristas" (SIPM), "Índice del Costo de la Construcción" (ICC) e “Índice de Precios al Consumidor” (IPC) para el mes de Octubre de 2019: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064"/>
        <w:gridCol w:w="2281"/>
      </w:tblGrid>
      <w:tr w:rsidR="008C4219" w:rsidRPr="008C4219" w:rsidTr="008C4219">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t>Nivel General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t>OCTUBRE 2019 (*)</w:t>
            </w:r>
          </w:p>
        </w:tc>
      </w:tr>
      <w:tr w:rsidR="008C4219" w:rsidRPr="008C4219" w:rsidTr="008C4219">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4219" w:rsidRPr="008C4219" w:rsidRDefault="008C4219" w:rsidP="008C4219">
            <w:pPr>
              <w:rPr>
                <w:rFonts w:ascii="Arial" w:eastAsia="Times New Roman" w:hAnsi="Arial" w:cs="Arial"/>
                <w:b/>
                <w:bCs/>
                <w:color w:val="666666"/>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t>Variación % respecto al mes anterior</w:t>
            </w:r>
          </w:p>
        </w:tc>
      </w:tr>
      <w:tr w:rsidR="008C4219" w:rsidRPr="008C4219" w:rsidTr="008C421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3,6</w:t>
            </w:r>
          </w:p>
        </w:tc>
      </w:tr>
      <w:tr w:rsidR="008C4219" w:rsidRPr="008C4219" w:rsidTr="008C421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3,5</w:t>
            </w:r>
          </w:p>
        </w:tc>
      </w:tr>
      <w:tr w:rsidR="008C4219" w:rsidRPr="008C4219" w:rsidTr="008C421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3,4</w:t>
            </w:r>
          </w:p>
        </w:tc>
      </w:tr>
      <w:tr w:rsidR="008C4219" w:rsidRPr="008C4219" w:rsidTr="008C421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4,2</w:t>
            </w:r>
          </w:p>
        </w:tc>
      </w:tr>
      <w:tr w:rsidR="008C4219" w:rsidRPr="008C4219" w:rsidTr="008C421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C4219" w:rsidRPr="008C4219" w:rsidRDefault="008C4219" w:rsidP="008C4219">
            <w:pPr>
              <w:jc w:val="cente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3,3</w:t>
            </w:r>
          </w:p>
        </w:tc>
      </w:tr>
    </w:tbl>
    <w:p w:rsidR="008C4219" w:rsidRPr="008C4219" w:rsidRDefault="008C4219" w:rsidP="008C4219">
      <w:pPr>
        <w:rPr>
          <w:rFonts w:ascii="Arial" w:eastAsia="Times New Roman" w:hAnsi="Arial" w:cs="Arial"/>
          <w:b/>
          <w:bCs/>
          <w:color w:val="666666"/>
          <w:sz w:val="20"/>
          <w:szCs w:val="20"/>
        </w:rPr>
      </w:pPr>
      <w:r w:rsidRPr="008C4219">
        <w:rPr>
          <w:rFonts w:ascii="Arial" w:eastAsia="Times New Roman" w:hAnsi="Arial" w:cs="Arial"/>
          <w:b/>
          <w:bCs/>
          <w:color w:val="666666"/>
          <w:sz w:val="20"/>
          <w:szCs w:val="20"/>
        </w:rPr>
        <w:br/>
        <w:t>(*) Dato provisorio</w:t>
      </w:r>
    </w:p>
    <w:p w:rsidR="0088157D" w:rsidRDefault="0088157D" w:rsidP="005E1EC9">
      <w:pPr>
        <w:spacing w:line="360" w:lineRule="auto"/>
        <w:jc w:val="both"/>
        <w:rPr>
          <w:rFonts w:ascii="Arial" w:eastAsia="Times New Roman" w:hAnsi="Arial" w:cs="Arial"/>
          <w:color w:val="666666"/>
          <w:sz w:val="20"/>
          <w:szCs w:val="20"/>
        </w:rPr>
      </w:pPr>
    </w:p>
    <w:p w:rsidR="008C4219" w:rsidRDefault="008C4219" w:rsidP="008C4219">
      <w:pPr>
        <w:pStyle w:val="NormalWeb"/>
        <w:spacing w:before="0" w:beforeAutospacing="0" w:after="0" w:afterAutospacing="0"/>
        <w:jc w:val="center"/>
        <w:rPr>
          <w:rFonts w:ascii="Arial" w:hAnsi="Arial" w:cs="Arial"/>
          <w:b/>
          <w:bCs/>
          <w:caps/>
          <w:color w:val="7F870A"/>
          <w:sz w:val="21"/>
          <w:szCs w:val="21"/>
        </w:rPr>
      </w:pPr>
      <w:r w:rsidRPr="008C4219">
        <w:rPr>
          <w:rFonts w:ascii="Arial" w:hAnsi="Arial" w:cs="Arial"/>
          <w:b/>
          <w:bCs/>
          <w:caps/>
          <w:color w:val="7F870A"/>
          <w:sz w:val="28"/>
          <w:szCs w:val="28"/>
        </w:rPr>
        <w:t>Sociedades</w:t>
      </w:r>
    </w:p>
    <w:p w:rsidR="008C4219" w:rsidRDefault="008C4219" w:rsidP="008C4219">
      <w:pPr>
        <w:pStyle w:val="NormalWeb"/>
        <w:spacing w:before="0" w:beforeAutospacing="0" w:after="0" w:afterAutospacing="0"/>
        <w:jc w:val="center"/>
        <w:rPr>
          <w:rFonts w:ascii="Arial" w:hAnsi="Arial" w:cs="Arial"/>
          <w:b/>
          <w:bCs/>
          <w:caps/>
          <w:color w:val="7F870A"/>
          <w:sz w:val="21"/>
          <w:szCs w:val="21"/>
        </w:rPr>
      </w:pPr>
    </w:p>
    <w:p w:rsidR="008C4219" w:rsidRDefault="008C4219" w:rsidP="008C4219">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 xml:space="preserve">Modificación de las normas de la Comisión Nacional de Valores sobre lavado de activos y financiamiento del terrorismo - </w:t>
      </w:r>
      <w:r w:rsidRPr="008C4219">
        <w:rPr>
          <w:rFonts w:ascii="Arial" w:hAnsi="Arial" w:cs="Arial"/>
          <w:b/>
          <w:bCs/>
          <w:caps/>
          <w:color w:val="7F870A"/>
          <w:sz w:val="21"/>
          <w:szCs w:val="21"/>
        </w:rPr>
        <w:t xml:space="preserve">RESOLUCIÓN GENERAL (Com. </w:t>
      </w:r>
      <w:proofErr w:type="spellStart"/>
      <w:r w:rsidRPr="008C4219">
        <w:rPr>
          <w:rFonts w:ascii="Arial" w:hAnsi="Arial" w:cs="Arial"/>
          <w:b/>
          <w:bCs/>
          <w:caps/>
          <w:color w:val="7F870A"/>
          <w:sz w:val="21"/>
          <w:szCs w:val="21"/>
        </w:rPr>
        <w:t>Nac</w:t>
      </w:r>
      <w:proofErr w:type="spellEnd"/>
      <w:r w:rsidRPr="008C4219">
        <w:rPr>
          <w:rFonts w:ascii="Arial" w:hAnsi="Arial" w:cs="Arial"/>
          <w:b/>
          <w:bCs/>
          <w:caps/>
          <w:color w:val="7F870A"/>
          <w:sz w:val="21"/>
          <w:szCs w:val="21"/>
        </w:rPr>
        <w:t>. Valores) 816/2019</w:t>
      </w:r>
    </w:p>
    <w:p w:rsidR="008C4219" w:rsidRDefault="008C4219" w:rsidP="005E1EC9">
      <w:pPr>
        <w:spacing w:line="360" w:lineRule="auto"/>
        <w:jc w:val="both"/>
        <w:rPr>
          <w:rFonts w:ascii="Arial" w:eastAsia="Times New Roman" w:hAnsi="Arial" w:cs="Arial"/>
          <w:color w:val="666666"/>
          <w:sz w:val="20"/>
          <w:szCs w:val="20"/>
        </w:rPr>
      </w:pPr>
    </w:p>
    <w:p w:rsidR="008C4219" w:rsidRDefault="008C4219" w:rsidP="005E1EC9">
      <w:pPr>
        <w:spacing w:line="360" w:lineRule="auto"/>
        <w:jc w:val="both"/>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 xml:space="preserve">Se incorpora dentro de los sujetos obligados a informar a la Unidad de Información Financiera a las plataformas de financiamiento colectivo y a los agentes asesores globales de inversión, entre otros, y se reforman los procedimientos de fiscalización de la Comisión </w:t>
      </w:r>
      <w:r w:rsidRPr="008C4219">
        <w:rPr>
          <w:rFonts w:ascii="Arial" w:eastAsia="Times New Roman" w:hAnsi="Arial" w:cs="Arial"/>
          <w:b/>
          <w:bCs/>
          <w:color w:val="666666"/>
          <w:sz w:val="20"/>
          <w:szCs w:val="20"/>
        </w:rPr>
        <w:lastRenderedPageBreak/>
        <w:t>Nacional de Valores para el cumplimiento de la normativa sobre prevención del lavado de activos y financiamiento del terrorismo</w:t>
      </w:r>
      <w:r>
        <w:rPr>
          <w:rFonts w:ascii="Arial" w:eastAsia="Times New Roman" w:hAnsi="Arial" w:cs="Arial"/>
          <w:b/>
          <w:bCs/>
          <w:color w:val="666666"/>
          <w:sz w:val="20"/>
          <w:szCs w:val="20"/>
        </w:rPr>
        <w:t>.</w:t>
      </w:r>
    </w:p>
    <w:p w:rsidR="008C4219" w:rsidRDefault="008C4219" w:rsidP="005E1EC9">
      <w:pPr>
        <w:spacing w:line="360" w:lineRule="auto"/>
        <w:jc w:val="both"/>
        <w:rPr>
          <w:rFonts w:ascii="Arial" w:eastAsia="Times New Roman" w:hAnsi="Arial" w:cs="Arial"/>
          <w:b/>
          <w:bCs/>
          <w:color w:val="666666"/>
          <w:sz w:val="20"/>
          <w:szCs w:val="20"/>
        </w:rPr>
      </w:pPr>
    </w:p>
    <w:p w:rsidR="008C4219" w:rsidRDefault="008C4219" w:rsidP="008C4219">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 xml:space="preserve">Actualización de los montos mínimos exigidos para informar a la Unidad de Información Financiera respecto del origen lícito de fondos y la prevención sobre lavado de activos y financiamiento del terrorismo - </w:t>
      </w:r>
      <w:r w:rsidRPr="008C4219">
        <w:rPr>
          <w:rFonts w:ascii="Arial" w:hAnsi="Arial" w:cs="Arial"/>
          <w:b/>
          <w:bCs/>
          <w:caps/>
          <w:color w:val="7F870A"/>
          <w:sz w:val="21"/>
          <w:szCs w:val="21"/>
        </w:rPr>
        <w:t>RESOLUCIÓN (Unidad de Información Financiera) 117/2019</w:t>
      </w:r>
    </w:p>
    <w:p w:rsidR="008C4219" w:rsidRDefault="008C4219" w:rsidP="005E1EC9">
      <w:pPr>
        <w:spacing w:line="360" w:lineRule="auto"/>
        <w:jc w:val="both"/>
        <w:rPr>
          <w:rFonts w:ascii="Arial" w:eastAsia="Times New Roman" w:hAnsi="Arial" w:cs="Arial"/>
          <w:b/>
          <w:bCs/>
          <w:color w:val="666666"/>
          <w:sz w:val="20"/>
          <w:szCs w:val="20"/>
        </w:rPr>
      </w:pPr>
    </w:p>
    <w:p w:rsidR="008C4219" w:rsidRDefault="008C4219" w:rsidP="005E1EC9">
      <w:pPr>
        <w:spacing w:line="360" w:lineRule="auto"/>
        <w:jc w:val="both"/>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Se actualizan los montos establecidos por la normativa de la Unidad de Información Financiera para los diferentes sectores regulados por el Organismo, basado en los estándares internacionales del Grupo de Acción Financiera Internacional (GAFI) y con la finalidad de contribuir a una prevención eficaz de los delitos de lavado de activos y financiamiento del terrorismo</w:t>
      </w:r>
      <w:r>
        <w:rPr>
          <w:rFonts w:ascii="Arial" w:eastAsia="Times New Roman" w:hAnsi="Arial" w:cs="Arial"/>
          <w:b/>
          <w:bCs/>
          <w:color w:val="666666"/>
          <w:sz w:val="20"/>
          <w:szCs w:val="20"/>
        </w:rPr>
        <w:t>.</w:t>
      </w:r>
    </w:p>
    <w:p w:rsidR="008C4219" w:rsidRDefault="008C4219" w:rsidP="005E1EC9">
      <w:pPr>
        <w:spacing w:line="360" w:lineRule="auto"/>
        <w:jc w:val="both"/>
        <w:rPr>
          <w:rFonts w:ascii="Arial" w:eastAsia="Times New Roman" w:hAnsi="Arial" w:cs="Arial"/>
          <w:b/>
          <w:bCs/>
          <w:color w:val="666666"/>
          <w:sz w:val="20"/>
          <w:szCs w:val="20"/>
        </w:rPr>
      </w:pPr>
    </w:p>
    <w:p w:rsidR="008C4219" w:rsidRDefault="008C4219" w:rsidP="008C4219">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La Corte define el valor del UMA a partir de noviembre de 2019</w:t>
      </w:r>
    </w:p>
    <w:p w:rsidR="008C4219" w:rsidRDefault="008C4219" w:rsidP="008C4219">
      <w:pPr>
        <w:pStyle w:val="NormalWeb"/>
        <w:spacing w:before="0" w:beforeAutospacing="0" w:after="0" w:afterAutospacing="0"/>
        <w:jc w:val="both"/>
        <w:rPr>
          <w:rFonts w:ascii="Arial" w:hAnsi="Arial" w:cs="Arial"/>
          <w:b/>
          <w:bCs/>
          <w:caps/>
          <w:color w:val="7F870A"/>
          <w:sz w:val="21"/>
          <w:szCs w:val="21"/>
        </w:rPr>
      </w:pPr>
    </w:p>
    <w:p w:rsidR="008C4219" w:rsidRDefault="008C4219" w:rsidP="008C4219">
      <w:pPr>
        <w:spacing w:line="360" w:lineRule="auto"/>
        <w:jc w:val="both"/>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La Corte Suprema de Justicia de la Nación, mediante la Acordada 30/2019, fijó el valor de la Unidad de Medida Arancelaria (UMA) en la suma de $ 2.902 a partir de noviembre de 2019</w:t>
      </w:r>
      <w:r>
        <w:rPr>
          <w:rFonts w:ascii="Arial" w:eastAsia="Times New Roman" w:hAnsi="Arial" w:cs="Arial"/>
          <w:b/>
          <w:bCs/>
          <w:color w:val="666666"/>
          <w:sz w:val="20"/>
          <w:szCs w:val="20"/>
        </w:rPr>
        <w:t>.</w:t>
      </w:r>
    </w:p>
    <w:p w:rsidR="008C4219" w:rsidRPr="008C4219" w:rsidRDefault="008C4219" w:rsidP="008C4219">
      <w:pPr>
        <w:spacing w:line="360" w:lineRule="auto"/>
        <w:jc w:val="both"/>
        <w:rPr>
          <w:rFonts w:ascii="Arial" w:hAnsi="Arial" w:cs="Arial"/>
          <w:b/>
          <w:bCs/>
          <w:caps/>
          <w:color w:val="7F870A"/>
        </w:rPr>
      </w:pPr>
    </w:p>
    <w:p w:rsidR="008C4219" w:rsidRPr="008C4219" w:rsidRDefault="008C4219" w:rsidP="008C4219">
      <w:pPr>
        <w:spacing w:line="360" w:lineRule="auto"/>
        <w:jc w:val="both"/>
        <w:rPr>
          <w:rFonts w:ascii="Arial" w:hAnsi="Arial" w:cs="Arial"/>
          <w:b/>
          <w:bCs/>
          <w:caps/>
          <w:color w:val="7F870A"/>
        </w:rPr>
      </w:pPr>
      <w:r w:rsidRPr="008C4219">
        <w:rPr>
          <w:rFonts w:ascii="Arial" w:hAnsi="Arial" w:cs="Arial"/>
          <w:b/>
          <w:bCs/>
          <w:caps/>
          <w:color w:val="7F870A"/>
        </w:rPr>
        <w:t>JURISPRUDENCIA</w:t>
      </w:r>
    </w:p>
    <w:p w:rsidR="008C4219" w:rsidRDefault="008C4219" w:rsidP="00443529">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r w:rsidRPr="00443529">
        <w:rPr>
          <w:rFonts w:ascii="Arial" w:hAnsi="Arial" w:cs="Arial"/>
          <w:b/>
          <w:bCs/>
          <w:caps/>
          <w:color w:val="7F870A"/>
          <w:sz w:val="21"/>
          <w:szCs w:val="21"/>
        </w:rPr>
        <w:t>SOCIEDAD ANÓNIMA. ADMINISTRACIÓN Y REPRESENTACIÓN. DIRECTORIO. DIRECTOR SUPLENTE. HONORARIOS</w:t>
      </w:r>
    </w:p>
    <w:p w:rsidR="00443529" w:rsidRPr="00443529" w:rsidRDefault="00443529" w:rsidP="00443529">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p>
    <w:p w:rsidR="00443529" w:rsidRDefault="008C4219" w:rsidP="008C4219">
      <w:pPr>
        <w:spacing w:line="360" w:lineRule="auto"/>
        <w:jc w:val="both"/>
        <w:rPr>
          <w:rFonts w:ascii="Arial" w:eastAsia="Times New Roman" w:hAnsi="Arial" w:cs="Arial"/>
          <w:color w:val="666666"/>
          <w:sz w:val="14"/>
          <w:szCs w:val="14"/>
        </w:rPr>
      </w:pPr>
      <w:r w:rsidRPr="00443529">
        <w:rPr>
          <w:rFonts w:ascii="Arial" w:eastAsia="Times New Roman" w:hAnsi="Arial" w:cs="Arial"/>
          <w:b/>
          <w:bCs/>
          <w:color w:val="666666"/>
          <w:sz w:val="20"/>
          <w:szCs w:val="20"/>
        </w:rPr>
        <w:t>Se desestima el recurso interpuesto por la sociedad, dado que la prohibición de contratar del artículo 271 de la ley general de sociedades alcanza a los directores titulares de la sociedad, pues ellos son los que efectivamente ocupan el cargo y administran a la sociedad. Si bien se le aplican al suplente las normas de incompatibilidad y prohibiciones de los titulares, lo cierto es que no es alcanzado por la expresada normativa, en tanto es una persona que no integra el órgano de administración, sino que reviste el carácter de un sujeto que ha prestado su conformidad para integrar el directorio de la sociedad a efectos de asumir el cargo de director titular en aquellos casos en los cuales -en el futuro- se produzca una vacancia en el seno del órgano de administración.</w:t>
      </w:r>
      <w:r>
        <w:rPr>
          <w:rFonts w:ascii="Arial" w:eastAsia="Times New Roman" w:hAnsi="Arial" w:cs="Arial"/>
          <w:color w:val="666666"/>
          <w:sz w:val="14"/>
          <w:szCs w:val="14"/>
        </w:rPr>
        <w:t xml:space="preserve"> </w:t>
      </w:r>
    </w:p>
    <w:p w:rsidR="00443529" w:rsidRDefault="008C4219" w:rsidP="008C4219">
      <w:pPr>
        <w:spacing w:line="360" w:lineRule="auto"/>
        <w:jc w:val="both"/>
        <w:rPr>
          <w:rFonts w:ascii="Arial" w:eastAsia="Times New Roman" w:hAnsi="Arial" w:cs="Arial"/>
          <w:color w:val="666666"/>
          <w:sz w:val="14"/>
          <w:szCs w:val="14"/>
        </w:rPr>
      </w:pPr>
      <w:r>
        <w:rPr>
          <w:rFonts w:ascii="Arial" w:eastAsia="Times New Roman" w:hAnsi="Arial" w:cs="Arial"/>
          <w:color w:val="666666"/>
          <w:sz w:val="14"/>
          <w:szCs w:val="14"/>
        </w:rPr>
        <w:t>CONSULT &amp; PROJECT SA C/ORESTE, AGUILAR HÉCTOR Y OTRO S/ORDINARIO - CÁM. NAC. COM. - SALA E - 17/07/2019</w:t>
      </w:r>
    </w:p>
    <w:p w:rsidR="00443529" w:rsidRDefault="00443529" w:rsidP="008C4219">
      <w:pPr>
        <w:spacing w:line="360" w:lineRule="auto"/>
        <w:jc w:val="both"/>
        <w:rPr>
          <w:rFonts w:ascii="Arial" w:eastAsia="Times New Roman" w:hAnsi="Arial" w:cs="Arial"/>
          <w:color w:val="666666"/>
          <w:sz w:val="14"/>
          <w:szCs w:val="14"/>
        </w:rPr>
      </w:pPr>
    </w:p>
    <w:p w:rsidR="00443529" w:rsidRPr="00443529" w:rsidRDefault="00443529" w:rsidP="00443529">
      <w:pPr>
        <w:spacing w:line="360" w:lineRule="auto"/>
        <w:jc w:val="center"/>
        <w:rPr>
          <w:rFonts w:ascii="Arial" w:eastAsia="Times New Roman" w:hAnsi="Arial" w:cs="Arial"/>
          <w:b/>
          <w:color w:val="5F497A" w:themeColor="accent4" w:themeShade="BF"/>
          <w:sz w:val="28"/>
          <w:szCs w:val="28"/>
        </w:rPr>
      </w:pPr>
      <w:r w:rsidRPr="00443529">
        <w:rPr>
          <w:rFonts w:ascii="Arial" w:eastAsia="Times New Roman" w:hAnsi="Arial" w:cs="Arial"/>
          <w:b/>
          <w:color w:val="5F497A" w:themeColor="accent4" w:themeShade="BF"/>
          <w:sz w:val="28"/>
          <w:szCs w:val="28"/>
        </w:rPr>
        <w:t>MISCELANEAS</w:t>
      </w:r>
    </w:p>
    <w:p w:rsidR="00443529" w:rsidRDefault="00443529" w:rsidP="008C4219">
      <w:pPr>
        <w:spacing w:line="360" w:lineRule="auto"/>
        <w:jc w:val="both"/>
        <w:rPr>
          <w:rFonts w:ascii="Arial" w:eastAsia="Times New Roman" w:hAnsi="Arial" w:cs="Arial"/>
          <w:color w:val="666666"/>
          <w:sz w:val="14"/>
          <w:szCs w:val="14"/>
        </w:rPr>
      </w:pPr>
    </w:p>
    <w:p w:rsidR="00443529" w:rsidRDefault="00443529" w:rsidP="00443529">
      <w:pPr>
        <w:jc w:val="both"/>
        <w:rPr>
          <w:rFonts w:ascii="Arial" w:eastAsia="Times New Roman" w:hAnsi="Arial" w:cs="Arial"/>
          <w:b/>
          <w:bCs/>
          <w:color w:val="5F497A" w:themeColor="accent4" w:themeShade="BF"/>
          <w:sz w:val="22"/>
          <w:szCs w:val="22"/>
        </w:rPr>
      </w:pPr>
      <w:r w:rsidRPr="00443529">
        <w:rPr>
          <w:rFonts w:ascii="Arial" w:eastAsia="Times New Roman" w:hAnsi="Arial" w:cs="Arial"/>
          <w:b/>
          <w:bCs/>
          <w:color w:val="5F497A" w:themeColor="accent4" w:themeShade="BF"/>
          <w:sz w:val="22"/>
          <w:szCs w:val="22"/>
        </w:rPr>
        <w:t>DOS AÑOS DE GRACIA Y CIERRE DE NEGOCIACIÓN POR LA DEUDA EN MARZO: LA FÓRMULA DEL “ASESOR” DE ALBERTO FERNÁNDEZ, MANO DERECHA DE UN PREMIO NOBEL</w:t>
      </w:r>
    </w:p>
    <w:p w:rsidR="00443529" w:rsidRPr="00443529" w:rsidRDefault="00443529" w:rsidP="00443529">
      <w:pPr>
        <w:rPr>
          <w:rFonts w:ascii="Arial" w:eastAsia="Times New Roman" w:hAnsi="Arial" w:cs="Arial"/>
          <w:b/>
          <w:bCs/>
          <w:color w:val="5F497A" w:themeColor="accent4" w:themeShade="BF"/>
          <w:sz w:val="22"/>
          <w:szCs w:val="22"/>
        </w:rPr>
      </w:pPr>
    </w:p>
    <w:p w:rsidR="00443529" w:rsidRDefault="00443529" w:rsidP="00443529">
      <w:pPr>
        <w:spacing w:line="360" w:lineRule="auto"/>
        <w:rPr>
          <w:rFonts w:ascii="Arial" w:eastAsia="Times New Roman" w:hAnsi="Arial" w:cs="Arial"/>
          <w:b/>
          <w:bCs/>
          <w:color w:val="666666"/>
          <w:sz w:val="20"/>
          <w:szCs w:val="20"/>
        </w:rPr>
      </w:pPr>
      <w:r w:rsidRPr="00443529">
        <w:rPr>
          <w:rFonts w:ascii="Arial" w:eastAsia="Times New Roman" w:hAnsi="Arial" w:cs="Arial"/>
          <w:b/>
          <w:bCs/>
          <w:color w:val="666666"/>
          <w:sz w:val="20"/>
          <w:szCs w:val="20"/>
        </w:rPr>
        <w:lastRenderedPageBreak/>
        <w:t xml:space="preserve">La iniciativa fue presentada en una reunión de la ONU, en Ginebra, por Martín Guzmán, economista de Columbia </w:t>
      </w:r>
      <w:proofErr w:type="spellStart"/>
      <w:r w:rsidRPr="00443529">
        <w:rPr>
          <w:rFonts w:ascii="Arial" w:eastAsia="Times New Roman" w:hAnsi="Arial" w:cs="Arial"/>
          <w:b/>
          <w:bCs/>
          <w:color w:val="666666"/>
          <w:sz w:val="20"/>
          <w:szCs w:val="20"/>
        </w:rPr>
        <w:t>University</w:t>
      </w:r>
      <w:proofErr w:type="spellEnd"/>
      <w:r w:rsidRPr="00443529">
        <w:rPr>
          <w:rFonts w:ascii="Arial" w:eastAsia="Times New Roman" w:hAnsi="Arial" w:cs="Arial"/>
          <w:b/>
          <w:bCs/>
          <w:color w:val="666666"/>
          <w:sz w:val="20"/>
          <w:szCs w:val="20"/>
        </w:rPr>
        <w:t xml:space="preserve"> de diálogo fluido con el futuro equipo económico y asesor de Joseph </w:t>
      </w:r>
      <w:proofErr w:type="spellStart"/>
      <w:r w:rsidRPr="00443529">
        <w:rPr>
          <w:rFonts w:ascii="Arial" w:eastAsia="Times New Roman" w:hAnsi="Arial" w:cs="Arial"/>
          <w:b/>
          <w:bCs/>
          <w:color w:val="666666"/>
          <w:sz w:val="20"/>
          <w:szCs w:val="20"/>
        </w:rPr>
        <w:t>Stiglitz</w:t>
      </w:r>
      <w:proofErr w:type="spellEnd"/>
      <w:r w:rsidRPr="00443529">
        <w:rPr>
          <w:rFonts w:ascii="Arial" w:eastAsia="Times New Roman" w:hAnsi="Arial" w:cs="Arial"/>
          <w:b/>
          <w:bCs/>
          <w:color w:val="666666"/>
          <w:sz w:val="20"/>
          <w:szCs w:val="20"/>
        </w:rPr>
        <w:t xml:space="preserve"> – Ros</w:t>
      </w:r>
      <w:r>
        <w:rPr>
          <w:rFonts w:ascii="Arial" w:eastAsia="Times New Roman" w:hAnsi="Arial" w:cs="Arial"/>
          <w:b/>
          <w:bCs/>
          <w:color w:val="666666"/>
          <w:sz w:val="20"/>
          <w:szCs w:val="20"/>
        </w:rPr>
        <w:t>a</w:t>
      </w:r>
      <w:r w:rsidRPr="00443529">
        <w:rPr>
          <w:rFonts w:ascii="Arial" w:eastAsia="Times New Roman" w:hAnsi="Arial" w:cs="Arial"/>
          <w:b/>
          <w:bCs/>
          <w:color w:val="666666"/>
          <w:sz w:val="20"/>
          <w:szCs w:val="20"/>
        </w:rPr>
        <w:t>rio finanzas</w:t>
      </w:r>
      <w:r>
        <w:rPr>
          <w:rFonts w:ascii="Arial" w:eastAsia="Times New Roman" w:hAnsi="Arial" w:cs="Arial"/>
          <w:b/>
          <w:bCs/>
          <w:color w:val="666666"/>
          <w:sz w:val="20"/>
          <w:szCs w:val="20"/>
        </w:rPr>
        <w:t xml:space="preserve"> – 22/11/19</w:t>
      </w:r>
    </w:p>
    <w:p w:rsidR="00443529" w:rsidRDefault="00443529" w:rsidP="00443529">
      <w:pPr>
        <w:spacing w:line="360" w:lineRule="auto"/>
        <w:rPr>
          <w:rFonts w:ascii="Arial" w:eastAsia="Times New Roman" w:hAnsi="Arial" w:cs="Arial"/>
          <w:b/>
          <w:bCs/>
          <w:color w:val="666666"/>
          <w:sz w:val="20"/>
          <w:szCs w:val="20"/>
        </w:rPr>
      </w:pPr>
    </w:p>
    <w:p w:rsidR="00443529" w:rsidRPr="00443529" w:rsidRDefault="00443529" w:rsidP="00443529">
      <w:pPr>
        <w:pStyle w:val="Ttulo1"/>
        <w:rPr>
          <w:rFonts w:ascii="Arial" w:eastAsia="Times New Roman" w:hAnsi="Arial" w:cs="Arial"/>
          <w:color w:val="5F497A" w:themeColor="accent4" w:themeShade="BF"/>
          <w:sz w:val="22"/>
          <w:szCs w:val="22"/>
        </w:rPr>
      </w:pPr>
      <w:r w:rsidRPr="00443529">
        <w:rPr>
          <w:rFonts w:ascii="Arial" w:eastAsia="Times New Roman" w:hAnsi="Arial" w:cs="Arial"/>
          <w:color w:val="5F497A" w:themeColor="accent4" w:themeShade="BF"/>
          <w:sz w:val="22"/>
          <w:szCs w:val="22"/>
        </w:rPr>
        <w:t>PARA LA OCDE, LA DEMANDA INTERNA SEGUIRÁ A LA BAJA HASTA FIN DE 2020</w:t>
      </w:r>
    </w:p>
    <w:p w:rsidR="00443529" w:rsidRDefault="00443529" w:rsidP="00443529">
      <w:pPr>
        <w:rPr>
          <w:rFonts w:ascii="PT Serif" w:hAnsi="PT Serif"/>
          <w:color w:val="313131"/>
          <w:sz w:val="21"/>
          <w:szCs w:val="21"/>
        </w:rPr>
      </w:pPr>
      <w:r w:rsidRPr="00443529">
        <w:rPr>
          <w:rFonts w:ascii="Arial" w:eastAsia="Times New Roman" w:hAnsi="Arial" w:cs="Arial"/>
          <w:b/>
          <w:bCs/>
          <w:color w:val="666666"/>
          <w:sz w:val="20"/>
          <w:szCs w:val="20"/>
        </w:rPr>
        <w:t>21 noviembre, 2019</w:t>
      </w:r>
      <w:r>
        <w:rPr>
          <w:rFonts w:ascii="Arial" w:eastAsia="Times New Roman" w:hAnsi="Arial" w:cs="Arial"/>
          <w:b/>
          <w:bCs/>
          <w:color w:val="666666"/>
          <w:sz w:val="20"/>
          <w:szCs w:val="20"/>
        </w:rPr>
        <w:t xml:space="preserve"> - </w:t>
      </w:r>
      <w:hyperlink r:id="rId8" w:history="1">
        <w:r w:rsidRPr="000B6F39">
          <w:rPr>
            <w:rStyle w:val="Hipervnculo"/>
            <w:rFonts w:ascii="PT Serif" w:hAnsi="PT Serif"/>
            <w:sz w:val="21"/>
            <w:szCs w:val="21"/>
          </w:rPr>
          <w:t>www.cronista.com</w:t>
        </w:r>
      </w:hyperlink>
    </w:p>
    <w:p w:rsidR="00443529" w:rsidRPr="00443529" w:rsidRDefault="00443529" w:rsidP="00443529">
      <w:pPr>
        <w:rPr>
          <w:rFonts w:ascii="Arial" w:eastAsia="Times New Roman" w:hAnsi="Arial" w:cs="Arial"/>
          <w:b/>
          <w:bCs/>
          <w:color w:val="666666"/>
          <w:sz w:val="20"/>
          <w:szCs w:val="20"/>
        </w:rPr>
      </w:pP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Para la (OCDE) la demanda interna en la Argentina seguirá a la baja hasta fines de 2020 “ya que la estabilización de la economía llevará tiempo y las políticas macroeconómicas siguen siendo estrictas”. Así lo sostuvo hoy en el informe difundido en París, con una actualización de las Perspectivas mundiales en el que, además menciona que el desempleo va a aumentar debido a la recesión. En concreto, al igual que las previsiones del FMI y del Banco Mundial, la Organización para la Cooperación y el Desarrollo Económico (OCDE) empeoró sus perspectivas sobre el PBI de la Argentina y pronostica una caída de 3% para este año, frente el 2,7% que estimaba en septiembre. Para 2020 el panorama en números en similar: mientras que dos meses atrás pronosticaban una caída de 1,8% para el año próximo, ahora estiman un 1,7%.</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 xml:space="preserve">Para la OCDE, el año próximo prevé que las exportaciones, “estimuladas por el tipo de cambio más competitivo, lideren la recuperación, con un retorno a crecimiento positivo proyectado en 2021”. A su vez la OCDE menciona que “los riesgos fiscales son sustanciales dados los altos niveles de deuda y el difícil acceso al mercado de financiación”. Para este año ubica a la deuda en torno a un 90% del </w:t>
      </w:r>
      <w:proofErr w:type="spellStart"/>
      <w:r w:rsidRPr="00443529">
        <w:rPr>
          <w:rFonts w:ascii="Arial" w:eastAsia="Times New Roman" w:hAnsi="Arial" w:cs="Arial"/>
          <w:b/>
          <w:bCs/>
          <w:color w:val="666666"/>
          <w:sz w:val="20"/>
          <w:szCs w:val="20"/>
        </w:rPr>
        <w:t>PBI</w:t>
      </w:r>
      <w:proofErr w:type="gramStart"/>
      <w:r w:rsidRPr="00443529">
        <w:rPr>
          <w:rFonts w:ascii="Arial" w:eastAsia="Times New Roman" w:hAnsi="Arial" w:cs="Arial"/>
          <w:b/>
          <w:bCs/>
          <w:color w:val="666666"/>
          <w:sz w:val="20"/>
          <w:szCs w:val="20"/>
        </w:rPr>
        <w:t>,similar</w:t>
      </w:r>
      <w:proofErr w:type="spellEnd"/>
      <w:proofErr w:type="gramEnd"/>
      <w:r w:rsidRPr="00443529">
        <w:rPr>
          <w:rFonts w:ascii="Arial" w:eastAsia="Times New Roman" w:hAnsi="Arial" w:cs="Arial"/>
          <w:b/>
          <w:bCs/>
          <w:color w:val="666666"/>
          <w:sz w:val="20"/>
          <w:szCs w:val="20"/>
        </w:rPr>
        <w:t xml:space="preserve"> al FMI que la ve en un 93%. Con un IPC que va a terminar en torno a un 55% anual, desde la organización al que la Argentina intentó ingresar como miembro, hay “riesgos de que la inflación se salga de control si la política monetaria están relajada”. Al igual que en otras oportunidades, la OCDE reitera la necesidad de reformas estructurales, que “mejoran la productividad y podría conducir a una recuperación más rápida que la actual”.</w:t>
      </w:r>
    </w:p>
    <w:p w:rsidR="00443529" w:rsidRPr="00443529" w:rsidRDefault="00443529" w:rsidP="00443529">
      <w:pPr>
        <w:pStyle w:val="Ttulo1"/>
        <w:rPr>
          <w:rFonts w:ascii="Arial" w:eastAsia="Times New Roman" w:hAnsi="Arial" w:cs="Arial"/>
          <w:color w:val="5F497A" w:themeColor="accent4" w:themeShade="BF"/>
          <w:sz w:val="22"/>
          <w:szCs w:val="22"/>
        </w:rPr>
      </w:pPr>
      <w:r w:rsidRPr="00443529">
        <w:rPr>
          <w:rFonts w:ascii="Arial" w:eastAsia="Times New Roman" w:hAnsi="Arial" w:cs="Arial"/>
          <w:color w:val="5F497A" w:themeColor="accent4" w:themeShade="BF"/>
          <w:sz w:val="22"/>
          <w:szCs w:val="22"/>
        </w:rPr>
        <w:t>CARRERA PARA EVITAR PAGAR MÁS POR BIENES PERSONALES</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22 noviembre, 2019 - Fuente: https://www.ambito.com/carrera</w:t>
      </w:r>
    </w:p>
    <w:p w:rsidR="00443529" w:rsidRPr="00443529" w:rsidRDefault="00443529" w:rsidP="00443529">
      <w:pPr>
        <w:spacing w:line="360" w:lineRule="auto"/>
        <w:jc w:val="both"/>
        <w:rPr>
          <w:rFonts w:ascii="Arial" w:eastAsia="Times New Roman" w:hAnsi="Arial" w:cs="Arial"/>
          <w:b/>
          <w:bCs/>
          <w:color w:val="666666"/>
          <w:sz w:val="20"/>
          <w:szCs w:val="20"/>
        </w:rPr>
      </w:pPr>
    </w:p>
    <w:p w:rsid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Buscan inversores posicionarse en activos que les permitan hacer frente a un eventual aumento de la alícuota.</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 xml:space="preserve">Faltan 12 días de mercados para el traspaso de mando y el fantasma de un aumento de la alícuota de Bienes Personales para activos financieros y reales que los argentinos </w:t>
      </w:r>
      <w:proofErr w:type="gramStart"/>
      <w:r w:rsidRPr="00443529">
        <w:rPr>
          <w:rFonts w:ascii="Arial" w:eastAsia="Times New Roman" w:hAnsi="Arial" w:cs="Arial"/>
          <w:b/>
          <w:bCs/>
          <w:color w:val="666666"/>
          <w:sz w:val="20"/>
          <w:szCs w:val="20"/>
        </w:rPr>
        <w:lastRenderedPageBreak/>
        <w:t>mantienen</w:t>
      </w:r>
      <w:proofErr w:type="gramEnd"/>
      <w:r w:rsidRPr="00443529">
        <w:rPr>
          <w:rFonts w:ascii="Arial" w:eastAsia="Times New Roman" w:hAnsi="Arial" w:cs="Arial"/>
          <w:b/>
          <w:bCs/>
          <w:color w:val="666666"/>
          <w:sz w:val="20"/>
          <w:szCs w:val="20"/>
        </w:rPr>
        <w:t xml:space="preserve"> fuera del país está condicionando las inversiones. Sobre todo las de quienes se acogieron al blanqueo en 2016.</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El objetivo sería el de llegar a la foto del 31 de diciembre con una cartera estructurada de manera tal de eludir un eventual incremento de la tasa del impuesto o la versión de un castigo tributario diferencial para la parte de los 116.800 millones de dólares que se regularizaron, sin que se les exigiera la repatriación de los fondos. Se estima en 70% del total la porción que se dejó en el exterior.</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Una posibilidad, la más obvia, es la de trasladar las inversiones al país. Aun conservando la estructura de origen, se evitaría una posible tasa diferencial. Pero, claro, para quienes optaron por minimizar el riesgo argentino, esta alternativa implica modificar el grado de confort con el que se encontraron cómodos entonces.</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 xml:space="preserve">Más audaz es la variante de convertir parte o toda la cartera a bonos soberanos argentinos, que están exentos del tributo. Quienes lo hicieron en 2017 para evitar una tasa de 0,75% hoy se arrepienten. Estar en títulos públicos les significó perder hasta 70% del capital el año pasado. No son pocos los que se resisten a desprenderse de los papeles para no realizar la pérdida. A lo sumo aceptan la sugerencia de arbitrar entre </w:t>
      </w:r>
      <w:proofErr w:type="spellStart"/>
      <w:r w:rsidRPr="00443529">
        <w:rPr>
          <w:rFonts w:ascii="Arial" w:eastAsia="Times New Roman" w:hAnsi="Arial" w:cs="Arial"/>
          <w:b/>
          <w:bCs/>
          <w:color w:val="666666"/>
          <w:sz w:val="20"/>
          <w:szCs w:val="20"/>
        </w:rPr>
        <w:t>Bonar</w:t>
      </w:r>
      <w:proofErr w:type="spellEnd"/>
      <w:r w:rsidRPr="00443529">
        <w:rPr>
          <w:rFonts w:ascii="Arial" w:eastAsia="Times New Roman" w:hAnsi="Arial" w:cs="Arial"/>
          <w:b/>
          <w:bCs/>
          <w:color w:val="666666"/>
          <w:sz w:val="20"/>
          <w:szCs w:val="20"/>
        </w:rPr>
        <w:t xml:space="preserve"> 2020 (AO20) y </w:t>
      </w:r>
      <w:proofErr w:type="spellStart"/>
      <w:r w:rsidRPr="00443529">
        <w:rPr>
          <w:rFonts w:ascii="Arial" w:eastAsia="Times New Roman" w:hAnsi="Arial" w:cs="Arial"/>
          <w:b/>
          <w:bCs/>
          <w:color w:val="666666"/>
          <w:sz w:val="20"/>
          <w:szCs w:val="20"/>
        </w:rPr>
        <w:t>Bonar</w:t>
      </w:r>
      <w:proofErr w:type="spellEnd"/>
      <w:r w:rsidRPr="00443529">
        <w:rPr>
          <w:rFonts w:ascii="Arial" w:eastAsia="Times New Roman" w:hAnsi="Arial" w:cs="Arial"/>
          <w:b/>
          <w:bCs/>
          <w:color w:val="666666"/>
          <w:sz w:val="20"/>
          <w:szCs w:val="20"/>
        </w:rPr>
        <w:t xml:space="preserve"> 2024 (AY24), o Ley Nueva York y Ley local.</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Los bajos precios que tienen hoy los soberanos argentinos pueden ser un atractivo para el inversor que persigue el objetivo fiscal y, al mismo tiempo, una posible ganancia de capital si es que confían en una reestructuración amigable de la deuda que resulte en un combo de quita de capital, rebaja de intereses y extensión de plazos que se traduzca en una mejora respecto de las paridades actuales, que rondan 40%.</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 xml:space="preserve">Si la opción de bonos argentinos no convence, hay otra variante, que son los títulos soberanos de otros países latinoamericanos. Por ejemplo, Bolivia. Por un convenio binacional los papeles del altiplano están exentos de Bienes Personales. Los soberanos de Brasil también, por un acuerdo que vence a fin de año pero sería renovado, aunque la poca empatía entre el presidente electo Alberto Fernández y el titular del </w:t>
      </w:r>
      <w:proofErr w:type="spellStart"/>
      <w:r w:rsidRPr="00443529">
        <w:rPr>
          <w:rFonts w:ascii="Arial" w:eastAsia="Times New Roman" w:hAnsi="Arial" w:cs="Arial"/>
          <w:b/>
          <w:bCs/>
          <w:color w:val="666666"/>
          <w:sz w:val="20"/>
          <w:szCs w:val="20"/>
        </w:rPr>
        <w:t>Planalto</w:t>
      </w:r>
      <w:proofErr w:type="spellEnd"/>
      <w:r w:rsidRPr="00443529">
        <w:rPr>
          <w:rFonts w:ascii="Arial" w:eastAsia="Times New Roman" w:hAnsi="Arial" w:cs="Arial"/>
          <w:b/>
          <w:bCs/>
          <w:color w:val="666666"/>
          <w:sz w:val="20"/>
          <w:szCs w:val="20"/>
        </w:rPr>
        <w:t xml:space="preserve">, </w:t>
      </w:r>
      <w:proofErr w:type="spellStart"/>
      <w:r w:rsidRPr="00443529">
        <w:rPr>
          <w:rFonts w:ascii="Arial" w:eastAsia="Times New Roman" w:hAnsi="Arial" w:cs="Arial"/>
          <w:b/>
          <w:bCs/>
          <w:color w:val="666666"/>
          <w:sz w:val="20"/>
          <w:szCs w:val="20"/>
        </w:rPr>
        <w:t>Jair</w:t>
      </w:r>
      <w:proofErr w:type="spellEnd"/>
      <w:r w:rsidRPr="00443529">
        <w:rPr>
          <w:rFonts w:ascii="Arial" w:eastAsia="Times New Roman" w:hAnsi="Arial" w:cs="Arial"/>
          <w:b/>
          <w:bCs/>
          <w:color w:val="666666"/>
          <w:sz w:val="20"/>
          <w:szCs w:val="20"/>
        </w:rPr>
        <w:t xml:space="preserve"> </w:t>
      </w:r>
      <w:proofErr w:type="spellStart"/>
      <w:r w:rsidRPr="00443529">
        <w:rPr>
          <w:rFonts w:ascii="Arial" w:eastAsia="Times New Roman" w:hAnsi="Arial" w:cs="Arial"/>
          <w:b/>
          <w:bCs/>
          <w:color w:val="666666"/>
          <w:sz w:val="20"/>
          <w:szCs w:val="20"/>
        </w:rPr>
        <w:t>Bolsonaro</w:t>
      </w:r>
      <w:proofErr w:type="spellEnd"/>
      <w:r w:rsidRPr="00443529">
        <w:rPr>
          <w:rFonts w:ascii="Arial" w:eastAsia="Times New Roman" w:hAnsi="Arial" w:cs="Arial"/>
          <w:b/>
          <w:bCs/>
          <w:color w:val="666666"/>
          <w:sz w:val="20"/>
          <w:szCs w:val="20"/>
        </w:rPr>
        <w:t>, deja espacio para las dudas.</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Los expertos en inversiones preferirían evitar Bolivia este año. La crisis política significó una caída de 5% en el soberano 2028. “Los rendimientos son muy bajos en comparación con los riesgos. En Bolivia el déficit es de 7% del PBI, Brasil devaluó 5% el real y en Chile, que también tiene convenio para evitar la doble imposición, se está complicando la macro”, explica un avezado analista de inversiones.</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 xml:space="preserve">Y agrega la alta volatilidad que afecta a la región. En Ecuador la Asamblea no aprobó el último domingo las reformas monetaria y fiscal de </w:t>
      </w:r>
      <w:proofErr w:type="spellStart"/>
      <w:r w:rsidRPr="00443529">
        <w:rPr>
          <w:rFonts w:ascii="Arial" w:eastAsia="Times New Roman" w:hAnsi="Arial" w:cs="Arial"/>
          <w:b/>
          <w:bCs/>
          <w:color w:val="666666"/>
          <w:sz w:val="20"/>
          <w:szCs w:val="20"/>
        </w:rPr>
        <w:t>Lenín</w:t>
      </w:r>
      <w:proofErr w:type="spellEnd"/>
      <w:r w:rsidRPr="00443529">
        <w:rPr>
          <w:rFonts w:ascii="Arial" w:eastAsia="Times New Roman" w:hAnsi="Arial" w:cs="Arial"/>
          <w:b/>
          <w:bCs/>
          <w:color w:val="666666"/>
          <w:sz w:val="20"/>
          <w:szCs w:val="20"/>
        </w:rPr>
        <w:t xml:space="preserve"> Moreno y los bonos que vencen entre 2022 y 2030 se desplomaron hasta 14% el lunes.</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lastRenderedPageBreak/>
        <w:t>Aquellos que tampoco se sienten cómodos en bonos regionales y siguen pensando en cómo eludir un posible aumento de Bienes Personales tienen la opción de vender los activos y dejar el efectivo en caja de ahorro, al menos hasta cruzar el fin de año, y replantear apenas iniciado 2020. En este caso hay que tener en cuenta otra advertencia de un asesor certificado: “Por la venta de activos puede pagar Ganancias y en Bienes Personales el costo de entrada y salida de cada operación, que en general ronda el 1%, es alto para salir y volver a entrar. No cierra”.</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 xml:space="preserve">Sin embargo, hay operaciones de ingreso de fondos del exterior, a través de “contado con liquidación” (CCL), para convertirlos a pesos y dejarlos estacionados en caja de ahorro. A esto algunos </w:t>
      </w:r>
      <w:proofErr w:type="spellStart"/>
      <w:r w:rsidRPr="00443529">
        <w:rPr>
          <w:rFonts w:ascii="Arial" w:eastAsia="Times New Roman" w:hAnsi="Arial" w:cs="Arial"/>
          <w:b/>
          <w:bCs/>
          <w:color w:val="666666"/>
          <w:sz w:val="20"/>
          <w:szCs w:val="20"/>
        </w:rPr>
        <w:t>traders</w:t>
      </w:r>
      <w:proofErr w:type="spellEnd"/>
      <w:r w:rsidRPr="00443529">
        <w:rPr>
          <w:rFonts w:ascii="Arial" w:eastAsia="Times New Roman" w:hAnsi="Arial" w:cs="Arial"/>
          <w:b/>
          <w:bCs/>
          <w:color w:val="666666"/>
          <w:sz w:val="20"/>
          <w:szCs w:val="20"/>
        </w:rPr>
        <w:t xml:space="preserve"> atribuyen la relativa calma de las últimas semanas en la cotización del dólar que surge del arbitraje de bonos y acciones.</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La opción de un trust o fideicomiso irrevocable es la variante que utilizaron aquellos que tienen un patrimonio importante. Mientras exista, estará libre de Ganancias y Bienes Personales. No es para el inversor promedio, por varias razones. Primero, por el costo para armar el fideicomiso, pero más importante es que por su carácter de irrevocable, quien lo constituye no tendrá más acceso a ese capital. Solo podrá decidir a quién o quiénes se le deben liberar el capital parcial o totalmente, o la renta de las inversiones, cuándo y de qué manera. Sirve para grandes fortunas. Por ejemplo, de 20 millones de dólares, y el titular decide separar la mitad para sus hijos o nietos, conservando 10 millones para sí.</w:t>
      </w:r>
    </w:p>
    <w:p w:rsidR="00443529" w:rsidRPr="00443529" w:rsidRDefault="00443529" w:rsidP="00443529">
      <w:pPr>
        <w:spacing w:line="360" w:lineRule="auto"/>
        <w:jc w:val="both"/>
        <w:rPr>
          <w:rFonts w:ascii="Arial" w:eastAsia="Times New Roman" w:hAnsi="Arial" w:cs="Arial"/>
          <w:b/>
          <w:bCs/>
          <w:color w:val="666666"/>
          <w:sz w:val="20"/>
          <w:szCs w:val="20"/>
        </w:rPr>
      </w:pPr>
      <w:r w:rsidRPr="00443529">
        <w:rPr>
          <w:rFonts w:ascii="Arial" w:eastAsia="Times New Roman" w:hAnsi="Arial" w:cs="Arial"/>
          <w:b/>
          <w:bCs/>
          <w:color w:val="666666"/>
          <w:sz w:val="20"/>
          <w:szCs w:val="20"/>
        </w:rPr>
        <w:t>Otros, más extremos, en general no muy conformes con haber regularizado, están consultando a sus contadores para explorar maneras de hacer que se evaporen fiscalmente al menos parte de los fondos. Analizan las posibilidades de aumentar al máximo la porción del consumido en 2019, mientras fantasean con derivar el producido a opciones como una caja de seguridad, cuentas alternativas en el exterior, el “colchón” o inclusive un pozo en el jardín.</w:t>
      </w:r>
    </w:p>
    <w:p w:rsidR="00443529" w:rsidRPr="00443529" w:rsidRDefault="00443529" w:rsidP="00443529">
      <w:pPr>
        <w:spacing w:line="360" w:lineRule="auto"/>
        <w:rPr>
          <w:rFonts w:ascii="Arial" w:eastAsia="Times New Roman" w:hAnsi="Arial" w:cs="Arial"/>
          <w:b/>
          <w:bCs/>
          <w:color w:val="666666"/>
          <w:sz w:val="20"/>
          <w:szCs w:val="20"/>
        </w:rPr>
      </w:pPr>
    </w:p>
    <w:p w:rsidR="008C4219" w:rsidRPr="008C4219" w:rsidRDefault="008C4219" w:rsidP="008C4219">
      <w:pPr>
        <w:spacing w:line="360" w:lineRule="auto"/>
        <w:jc w:val="both"/>
        <w:rPr>
          <w:rFonts w:ascii="Arial" w:eastAsia="Times New Roman" w:hAnsi="Arial" w:cs="Arial"/>
          <w:b/>
          <w:bCs/>
          <w:color w:val="666666"/>
          <w:sz w:val="20"/>
          <w:szCs w:val="20"/>
        </w:rPr>
      </w:pPr>
      <w:r>
        <w:rPr>
          <w:rFonts w:ascii="Arial" w:eastAsia="Times New Roman" w:hAnsi="Arial" w:cs="Arial"/>
          <w:color w:val="666666"/>
          <w:sz w:val="14"/>
          <w:szCs w:val="14"/>
        </w:rPr>
        <w:br/>
      </w:r>
    </w:p>
    <w:sectPr w:rsidR="008C4219" w:rsidRPr="008C4219"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219" w:rsidRDefault="008C4219" w:rsidP="00A22916">
      <w:r>
        <w:separator/>
      </w:r>
    </w:p>
  </w:endnote>
  <w:endnote w:type="continuationSeparator" w:id="0">
    <w:p w:rsidR="008C4219" w:rsidRDefault="008C4219"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T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19" w:rsidRDefault="008C4219"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443529" w:rsidRPr="00443529">
        <w:rPr>
          <w:rFonts w:asciiTheme="majorHAnsi" w:hAnsiTheme="majorHAnsi"/>
          <w:noProof/>
        </w:rPr>
        <w:t>7</w:t>
      </w:r>
    </w:fldSimple>
  </w:p>
  <w:p w:rsidR="008C4219" w:rsidRDefault="008C4219" w:rsidP="0063669F">
    <w:pPr>
      <w:pStyle w:val="Piedepgina"/>
    </w:pPr>
  </w:p>
  <w:p w:rsidR="008C4219" w:rsidRDefault="008C4219" w:rsidP="0063669F">
    <w:pPr>
      <w:pStyle w:val="Piedepgina"/>
    </w:pPr>
  </w:p>
  <w:p w:rsidR="008C4219" w:rsidRDefault="008C4219"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219" w:rsidRDefault="008C4219" w:rsidP="00A22916">
      <w:r>
        <w:separator/>
      </w:r>
    </w:p>
  </w:footnote>
  <w:footnote w:type="continuationSeparator" w:id="0">
    <w:p w:rsidR="008C4219" w:rsidRDefault="008C4219"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19" w:rsidRDefault="008C4219"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47-19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24"/>
  </w:num>
  <w:num w:numId="8">
    <w:abstractNumId w:val="23"/>
  </w:num>
  <w:num w:numId="9">
    <w:abstractNumId w:val="13"/>
  </w:num>
  <w:num w:numId="10">
    <w:abstractNumId w:val="21"/>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9"/>
  </w:num>
  <w:num w:numId="20">
    <w:abstractNumId w:val="2"/>
  </w:num>
  <w:num w:numId="21">
    <w:abstractNumId w:val="6"/>
  </w:num>
  <w:num w:numId="22">
    <w:abstractNumId w:val="22"/>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49"/>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41E3"/>
    <w:rsid w:val="0096547D"/>
    <w:rsid w:val="00967A81"/>
    <w:rsid w:val="00970515"/>
    <w:rsid w:val="009731AD"/>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76B"/>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D33"/>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1BB"/>
    <w:rsid w:val="00D95910"/>
    <w:rsid w:val="00D978A4"/>
    <w:rsid w:val="00DA34B5"/>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nis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17104-17A6-45B9-9B2A-3F03D455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2305</Words>
  <Characters>12682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2019-11-22T22:13:00Z</dcterms:created>
  <dcterms:modified xsi:type="dcterms:W3CDTF">2019-11-22T22:30:00Z</dcterms:modified>
</cp:coreProperties>
</file>